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206D0">
      <w:pPr>
        <w:spacing w:line="540" w:lineRule="exact"/>
        <w:jc w:val="both"/>
        <w:rPr>
          <w:rFonts w:hint="default" w:ascii="Times New Roman" w:hAnsi="Times New Roman" w:eastAsia="华文中宋" w:cs="Times New Roman"/>
          <w:b/>
          <w:color w:val="auto"/>
          <w:kern w:val="0"/>
          <w:sz w:val="52"/>
          <w:szCs w:val="52"/>
        </w:rPr>
      </w:pPr>
    </w:p>
    <w:p w14:paraId="4195B22A">
      <w:pPr>
        <w:spacing w:line="540" w:lineRule="exact"/>
        <w:rPr>
          <w:rFonts w:hint="default" w:ascii="Times New Roman" w:hAnsi="Times New Roman" w:eastAsia="华文中宋" w:cs="Times New Roman"/>
          <w:b/>
          <w:color w:val="auto"/>
          <w:kern w:val="0"/>
          <w:sz w:val="52"/>
          <w:szCs w:val="52"/>
        </w:rPr>
      </w:pPr>
    </w:p>
    <w:p w14:paraId="6B8E5203">
      <w:pPr>
        <w:spacing w:line="540" w:lineRule="exact"/>
        <w:jc w:val="center"/>
        <w:rPr>
          <w:rFonts w:hint="default" w:ascii="Times New Roman" w:hAnsi="Times New Roman" w:eastAsia="华文中宋" w:cs="Times New Roman"/>
          <w:b/>
          <w:color w:val="auto"/>
          <w:kern w:val="0"/>
          <w:sz w:val="52"/>
          <w:szCs w:val="52"/>
        </w:rPr>
      </w:pPr>
    </w:p>
    <w:p w14:paraId="7DDF8BDC">
      <w:pPr>
        <w:spacing w:line="540" w:lineRule="exact"/>
        <w:jc w:val="center"/>
        <w:rPr>
          <w:rFonts w:hint="default" w:ascii="Times New Roman" w:hAnsi="Times New Roman" w:eastAsia="华文中宋" w:cs="Times New Roman"/>
          <w:b/>
          <w:color w:val="auto"/>
          <w:kern w:val="0"/>
          <w:sz w:val="52"/>
          <w:szCs w:val="52"/>
        </w:rPr>
      </w:pPr>
    </w:p>
    <w:p w14:paraId="69F24CC6">
      <w:pPr>
        <w:pStyle w:val="13"/>
        <w:keepNext w:val="0"/>
        <w:keepLines w:val="0"/>
        <w:widowControl/>
        <w:suppressLineNumbers w:val="0"/>
        <w:spacing w:before="0" w:beforeAutospacing="0" w:after="0" w:afterAutospacing="0"/>
        <w:ind w:left="960" w:right="0" w:hanging="960" w:hangingChars="200"/>
        <w:rPr>
          <w:rFonts w:hint="default" w:ascii="Times New Roman" w:hAnsi="Times New Roman" w:eastAsia="方正小标宋_GBK" w:cs="Times New Roman"/>
          <w:color w:val="auto"/>
          <w:kern w:val="0"/>
          <w:sz w:val="48"/>
          <w:szCs w:val="48"/>
        </w:rPr>
      </w:pPr>
      <w:r>
        <w:rPr>
          <w:rFonts w:hint="eastAsia" w:eastAsia="方正小标宋_GBK"/>
          <w:color w:val="auto"/>
          <w:kern w:val="0"/>
          <w:sz w:val="48"/>
          <w:szCs w:val="48"/>
        </w:rPr>
        <w:t>202</w:t>
      </w:r>
      <w:r>
        <w:rPr>
          <w:rFonts w:hint="eastAsia" w:eastAsia="方正小标宋_GBK"/>
          <w:color w:val="auto"/>
          <w:kern w:val="0"/>
          <w:sz w:val="48"/>
          <w:szCs w:val="48"/>
          <w:lang w:val="en-US" w:eastAsia="zh-CN"/>
        </w:rPr>
        <w:t>4</w:t>
      </w:r>
      <w:r>
        <w:rPr>
          <w:rFonts w:hint="eastAsia" w:ascii="Times New Roman" w:hAnsi="Times New Roman" w:eastAsia="方正小标宋_GBK" w:cs="Times New Roman"/>
          <w:color w:val="auto"/>
          <w:kern w:val="0"/>
          <w:sz w:val="48"/>
          <w:szCs w:val="48"/>
          <w:lang w:val="en-US" w:eastAsia="zh-CN" w:bidi="ar-SA"/>
        </w:rPr>
        <w:t>年</w:t>
      </w:r>
      <w:r>
        <w:rPr>
          <w:rFonts w:hint="default" w:ascii="Times New Roman" w:hAnsi="Times New Roman" w:eastAsia="方正小标宋_GBK" w:cs="Times New Roman"/>
          <w:color w:val="auto"/>
          <w:kern w:val="0"/>
          <w:sz w:val="48"/>
          <w:szCs w:val="48"/>
          <w:lang w:val="en-US" w:eastAsia="zh-CN" w:bidi="ar-SA"/>
        </w:rPr>
        <w:t>西部区域无线电监测控制中心改造和功能提升</w:t>
      </w:r>
      <w:r>
        <w:rPr>
          <w:rFonts w:hint="default" w:ascii="Times New Roman" w:hAnsi="Times New Roman" w:eastAsia="方正小标宋_GBK" w:cs="Times New Roman"/>
          <w:color w:val="auto"/>
          <w:kern w:val="0"/>
          <w:sz w:val="48"/>
          <w:szCs w:val="48"/>
        </w:rPr>
        <w:t>项目支出绩效评价</w:t>
      </w:r>
    </w:p>
    <w:p w14:paraId="7298F606">
      <w:pPr>
        <w:spacing w:line="540" w:lineRule="exact"/>
        <w:jc w:val="center"/>
        <w:rPr>
          <w:rFonts w:hint="default" w:ascii="Times New Roman" w:hAnsi="Times New Roman" w:eastAsia="方正小标宋_GBK" w:cs="Times New Roman"/>
          <w:color w:val="auto"/>
          <w:kern w:val="0"/>
          <w:sz w:val="48"/>
          <w:szCs w:val="48"/>
        </w:rPr>
      </w:pPr>
      <w:r>
        <w:rPr>
          <w:rFonts w:hint="default" w:ascii="Times New Roman" w:hAnsi="Times New Roman" w:eastAsia="方正小标宋_GBK" w:cs="Times New Roman"/>
          <w:color w:val="auto"/>
          <w:kern w:val="0"/>
          <w:sz w:val="48"/>
          <w:szCs w:val="48"/>
        </w:rPr>
        <w:t>报告</w:t>
      </w:r>
    </w:p>
    <w:p w14:paraId="4EBF0C55">
      <w:pPr>
        <w:spacing w:line="540" w:lineRule="exact"/>
        <w:jc w:val="center"/>
        <w:rPr>
          <w:rFonts w:hint="default" w:ascii="Times New Roman" w:hAnsi="Times New Roman" w:eastAsia="华文中宋" w:cs="Times New Roman"/>
          <w:b/>
          <w:color w:val="auto"/>
          <w:kern w:val="0"/>
          <w:sz w:val="52"/>
          <w:szCs w:val="52"/>
        </w:rPr>
      </w:pPr>
    </w:p>
    <w:p w14:paraId="65D57925">
      <w:pPr>
        <w:spacing w:line="540" w:lineRule="exact"/>
        <w:jc w:val="center"/>
        <w:rPr>
          <w:rFonts w:hint="default" w:ascii="Times New Roman" w:hAnsi="Times New Roman" w:eastAsia="仿宋_GB2312" w:cs="Times New Roman"/>
          <w:color w:val="auto"/>
          <w:kern w:val="0"/>
          <w:sz w:val="36"/>
          <w:szCs w:val="36"/>
        </w:rPr>
      </w:pPr>
      <w:r>
        <w:rPr>
          <w:rFonts w:hint="default" w:ascii="Times New Roman" w:hAnsi="Times New Roman" w:eastAsia="仿宋_GB2312" w:cs="Times New Roman"/>
          <w:color w:val="auto"/>
          <w:kern w:val="0"/>
          <w:sz w:val="36"/>
          <w:szCs w:val="36"/>
        </w:rPr>
        <w:t>（202</w:t>
      </w:r>
      <w:r>
        <w:rPr>
          <w:rFonts w:hint="default" w:ascii="Times New Roman" w:hAnsi="Times New Roman" w:eastAsia="仿宋_GB2312" w:cs="Times New Roman"/>
          <w:color w:val="auto"/>
          <w:kern w:val="0"/>
          <w:sz w:val="36"/>
          <w:szCs w:val="36"/>
          <w:lang w:val="en-US" w:eastAsia="zh-CN"/>
        </w:rPr>
        <w:t>4</w:t>
      </w:r>
      <w:r>
        <w:rPr>
          <w:rFonts w:hint="default" w:ascii="Times New Roman" w:hAnsi="Times New Roman" w:eastAsia="仿宋_GB2312" w:cs="Times New Roman"/>
          <w:color w:val="auto"/>
          <w:kern w:val="0"/>
          <w:sz w:val="36"/>
          <w:szCs w:val="36"/>
        </w:rPr>
        <w:t>年度）</w:t>
      </w:r>
    </w:p>
    <w:p w14:paraId="1DADB428">
      <w:pPr>
        <w:spacing w:line="540" w:lineRule="exact"/>
        <w:jc w:val="center"/>
        <w:rPr>
          <w:rFonts w:hint="default" w:ascii="Times New Roman" w:hAnsi="Times New Roman" w:eastAsia="仿宋_GB2312" w:cs="Times New Roman"/>
          <w:color w:val="auto"/>
          <w:kern w:val="0"/>
          <w:sz w:val="30"/>
          <w:szCs w:val="30"/>
        </w:rPr>
      </w:pPr>
    </w:p>
    <w:p w14:paraId="0851F629">
      <w:pPr>
        <w:spacing w:line="540" w:lineRule="exact"/>
        <w:jc w:val="center"/>
        <w:rPr>
          <w:rFonts w:hint="default" w:ascii="Times New Roman" w:hAnsi="Times New Roman" w:eastAsia="仿宋_GB2312" w:cs="Times New Roman"/>
          <w:color w:val="auto"/>
          <w:kern w:val="0"/>
          <w:sz w:val="30"/>
          <w:szCs w:val="30"/>
        </w:rPr>
      </w:pPr>
    </w:p>
    <w:p w14:paraId="2D753103">
      <w:pPr>
        <w:spacing w:line="540" w:lineRule="exact"/>
        <w:jc w:val="center"/>
        <w:rPr>
          <w:rFonts w:hint="default" w:ascii="Times New Roman" w:hAnsi="Times New Roman" w:eastAsia="仿宋_GB2312" w:cs="Times New Roman"/>
          <w:color w:val="auto"/>
          <w:kern w:val="0"/>
          <w:sz w:val="30"/>
          <w:szCs w:val="30"/>
        </w:rPr>
      </w:pPr>
    </w:p>
    <w:p w14:paraId="7337B00D">
      <w:pPr>
        <w:pStyle w:val="2"/>
        <w:rPr>
          <w:rFonts w:hint="default" w:ascii="Times New Roman" w:hAnsi="Times New Roman" w:cs="Times New Roman"/>
          <w:color w:val="auto"/>
        </w:rPr>
      </w:pPr>
    </w:p>
    <w:p w14:paraId="562DDCA8">
      <w:pPr>
        <w:spacing w:line="540" w:lineRule="exact"/>
        <w:jc w:val="center"/>
        <w:rPr>
          <w:rFonts w:hint="default" w:ascii="Times New Roman" w:hAnsi="Times New Roman" w:eastAsia="仿宋_GB2312" w:cs="Times New Roman"/>
          <w:color w:val="auto"/>
          <w:kern w:val="0"/>
          <w:sz w:val="30"/>
          <w:szCs w:val="30"/>
        </w:rPr>
      </w:pPr>
    </w:p>
    <w:p w14:paraId="160529E8">
      <w:pPr>
        <w:spacing w:line="540" w:lineRule="exact"/>
        <w:rPr>
          <w:rFonts w:hint="default" w:ascii="Times New Roman" w:hAnsi="Times New Roman" w:eastAsia="仿宋_GB2312" w:cs="Times New Roman"/>
          <w:color w:val="auto"/>
          <w:kern w:val="0"/>
          <w:sz w:val="30"/>
          <w:szCs w:val="30"/>
        </w:rPr>
      </w:pPr>
    </w:p>
    <w:p w14:paraId="0642CAA9">
      <w:pPr>
        <w:pStyle w:val="13"/>
        <w:keepNext w:val="0"/>
        <w:keepLines w:val="0"/>
        <w:widowControl/>
        <w:suppressLineNumbers w:val="0"/>
        <w:spacing w:before="0" w:beforeAutospacing="0" w:after="0" w:afterAutospacing="0"/>
        <w:ind w:left="3236" w:leftChars="684" w:right="0" w:hanging="1800" w:hangingChars="500"/>
        <w:rPr>
          <w:rFonts w:hint="default" w:ascii="Times New Roman" w:hAnsi="Times New Roman" w:eastAsia="仿宋_GB2312" w:cs="Times New Roman"/>
          <w:color w:val="auto"/>
          <w:kern w:val="0"/>
          <w:sz w:val="36"/>
          <w:szCs w:val="36"/>
          <w:highlight w:val="none"/>
          <w:lang w:val="en-US" w:eastAsia="zh-CN" w:bidi="ar-SA"/>
        </w:rPr>
      </w:pPr>
      <w:r>
        <w:rPr>
          <w:rFonts w:hint="default" w:ascii="Times New Roman" w:hAnsi="Times New Roman" w:eastAsia="仿宋_GB2312" w:cs="Times New Roman"/>
          <w:color w:val="auto"/>
          <w:kern w:val="0"/>
          <w:sz w:val="36"/>
          <w:szCs w:val="36"/>
        </w:rPr>
        <w:t>项目名称：</w:t>
      </w:r>
      <w:r>
        <w:rPr>
          <w:rFonts w:hint="eastAsia" w:ascii="Times New Roman" w:hAnsi="Times New Roman" w:eastAsia="仿宋_GB2312" w:cs="Times New Roman"/>
          <w:color w:val="auto"/>
          <w:kern w:val="0"/>
          <w:sz w:val="36"/>
          <w:szCs w:val="36"/>
          <w:highlight w:val="none"/>
          <w:lang w:val="en-US" w:eastAsia="zh-CN" w:bidi="ar-SA"/>
        </w:rPr>
        <w:t>2024年西部区域无线电监测控制</w:t>
      </w:r>
      <w:r>
        <w:rPr>
          <w:rFonts w:hint="eastAsia" w:eastAsia="仿宋_GB2312" w:cs="Times New Roman"/>
          <w:color w:val="auto"/>
          <w:kern w:val="0"/>
          <w:sz w:val="36"/>
          <w:szCs w:val="36"/>
          <w:highlight w:val="none"/>
          <w:lang w:val="en-US" w:eastAsia="zh-CN" w:bidi="ar-SA"/>
        </w:rPr>
        <w:t xml:space="preserve"> </w:t>
      </w:r>
      <w:r>
        <w:rPr>
          <w:rFonts w:hint="eastAsia" w:ascii="Times New Roman" w:hAnsi="Times New Roman" w:eastAsia="仿宋_GB2312" w:cs="Times New Roman"/>
          <w:color w:val="auto"/>
          <w:kern w:val="0"/>
          <w:sz w:val="36"/>
          <w:szCs w:val="36"/>
          <w:highlight w:val="none"/>
          <w:lang w:val="en-US" w:eastAsia="zh-CN" w:bidi="ar-SA"/>
        </w:rPr>
        <w:t>中心改造和功能提升</w:t>
      </w:r>
    </w:p>
    <w:p w14:paraId="2BB26576">
      <w:pPr>
        <w:spacing w:line="700" w:lineRule="exact"/>
        <w:ind w:firstLine="1440" w:firstLineChars="400"/>
        <w:jc w:val="left"/>
        <w:rPr>
          <w:rFonts w:hint="default" w:ascii="Times New Roman" w:hAnsi="Times New Roman" w:eastAsia="仿宋_GB2312" w:cs="Times New Roman"/>
          <w:color w:val="auto"/>
          <w:kern w:val="0"/>
          <w:sz w:val="28"/>
          <w:szCs w:val="28"/>
          <w:highlight w:val="none"/>
          <w:lang w:val="en-US" w:eastAsia="zh-CN" w:bidi="ar-SA"/>
        </w:rPr>
      </w:pPr>
      <w:r>
        <w:rPr>
          <w:rFonts w:hint="default" w:ascii="Times New Roman" w:hAnsi="Times New Roman" w:eastAsia="仿宋_GB2312" w:cs="Times New Roman"/>
          <w:color w:val="auto"/>
          <w:kern w:val="0"/>
          <w:sz w:val="36"/>
          <w:szCs w:val="36"/>
        </w:rPr>
        <w:t>实施单位（公章）：</w:t>
      </w:r>
      <w:r>
        <w:rPr>
          <w:rFonts w:hint="eastAsia" w:ascii="Times New Roman" w:hAnsi="Times New Roman" w:eastAsia="仿宋_GB2312" w:cs="Times New Roman"/>
          <w:color w:val="auto"/>
          <w:kern w:val="0"/>
          <w:sz w:val="36"/>
          <w:szCs w:val="36"/>
          <w:highlight w:val="none"/>
          <w:lang w:val="en-US" w:eastAsia="zh-CN" w:bidi="ar-SA"/>
        </w:rPr>
        <w:t>自治区工业和信息化厅</w:t>
      </w:r>
    </w:p>
    <w:p w14:paraId="3B868F99">
      <w:pPr>
        <w:spacing w:line="700" w:lineRule="exact"/>
        <w:ind w:firstLine="1440" w:firstLineChars="400"/>
        <w:jc w:val="left"/>
        <w:rPr>
          <w:rFonts w:hint="eastAsia" w:ascii="Times New Roman" w:hAnsi="Times New Roman" w:eastAsia="仿宋_GB2312" w:cs="Times New Roman"/>
          <w:color w:val="auto"/>
          <w:kern w:val="0"/>
          <w:sz w:val="36"/>
          <w:szCs w:val="36"/>
          <w:lang w:val="en-US" w:eastAsia="zh-CN"/>
        </w:rPr>
      </w:pPr>
      <w:r>
        <w:rPr>
          <w:rFonts w:hint="default" w:ascii="Times New Roman" w:hAnsi="Times New Roman" w:eastAsia="仿宋_GB2312" w:cs="Times New Roman"/>
          <w:color w:val="auto"/>
          <w:kern w:val="0"/>
          <w:sz w:val="36"/>
          <w:szCs w:val="36"/>
        </w:rPr>
        <w:t>项目负责人（签章）：</w:t>
      </w:r>
      <w:r>
        <w:rPr>
          <w:rFonts w:hint="eastAsia" w:eastAsia="仿宋_GB2312" w:cs="Times New Roman"/>
          <w:color w:val="auto"/>
          <w:kern w:val="0"/>
          <w:sz w:val="36"/>
          <w:szCs w:val="36"/>
          <w:lang w:val="en-US" w:eastAsia="zh-CN"/>
        </w:rPr>
        <w:t>周吉阳</w:t>
      </w:r>
    </w:p>
    <w:p w14:paraId="195EAE96">
      <w:pPr>
        <w:spacing w:line="700" w:lineRule="exact"/>
        <w:ind w:firstLine="1440" w:firstLineChars="400"/>
        <w:jc w:val="left"/>
        <w:rPr>
          <w:rStyle w:val="18"/>
          <w:rFonts w:hint="default" w:ascii="Times New Roman" w:hAnsi="Times New Roman" w:eastAsia="黑体" w:cs="Times New Roman"/>
          <w:b w:val="0"/>
          <w:color w:val="auto"/>
          <w:spacing w:val="-4"/>
          <w:sz w:val="32"/>
          <w:szCs w:val="32"/>
        </w:rPr>
      </w:pPr>
      <w:r>
        <w:rPr>
          <w:rFonts w:hint="default" w:ascii="Times New Roman" w:hAnsi="Times New Roman" w:eastAsia="仿宋_GB2312" w:cs="Times New Roman"/>
          <w:color w:val="auto"/>
          <w:kern w:val="0"/>
          <w:sz w:val="36"/>
          <w:szCs w:val="36"/>
        </w:rPr>
        <w:t>填报时间：</w:t>
      </w:r>
      <w:r>
        <w:rPr>
          <w:rFonts w:hint="eastAsia" w:eastAsia="仿宋_GB2312" w:cs="Times New Roman"/>
          <w:color w:val="auto"/>
          <w:kern w:val="0"/>
          <w:sz w:val="36"/>
          <w:szCs w:val="36"/>
          <w:lang w:val="en-US" w:eastAsia="zh-CN"/>
        </w:rPr>
        <w:t xml:space="preserve">  2025</w:t>
      </w:r>
      <w:r>
        <w:rPr>
          <w:rFonts w:hint="default" w:ascii="Times New Roman" w:hAnsi="Times New Roman" w:eastAsia="仿宋_GB2312" w:cs="Times New Roman"/>
          <w:color w:val="auto"/>
          <w:kern w:val="0"/>
          <w:sz w:val="36"/>
          <w:szCs w:val="36"/>
        </w:rPr>
        <w:t>年</w:t>
      </w:r>
      <w:r>
        <w:rPr>
          <w:rFonts w:hint="eastAsia" w:eastAsia="仿宋_GB2312" w:cs="Times New Roman"/>
          <w:color w:val="auto"/>
          <w:kern w:val="0"/>
          <w:sz w:val="36"/>
          <w:szCs w:val="36"/>
          <w:lang w:val="en-US" w:eastAsia="zh-CN"/>
        </w:rPr>
        <w:t>3</w:t>
      </w:r>
      <w:r>
        <w:rPr>
          <w:rFonts w:hint="default" w:ascii="Times New Roman" w:hAnsi="Times New Roman" w:eastAsia="仿宋_GB2312" w:cs="Times New Roman"/>
          <w:color w:val="auto"/>
          <w:kern w:val="0"/>
          <w:sz w:val="36"/>
          <w:szCs w:val="36"/>
        </w:rPr>
        <w:t>月</w:t>
      </w:r>
      <w:r>
        <w:rPr>
          <w:rFonts w:hint="eastAsia" w:eastAsia="仿宋_GB2312" w:cs="Times New Roman"/>
          <w:color w:val="auto"/>
          <w:kern w:val="0"/>
          <w:sz w:val="36"/>
          <w:szCs w:val="36"/>
          <w:lang w:val="en-US" w:eastAsia="zh-CN"/>
        </w:rPr>
        <w:t>21</w:t>
      </w:r>
      <w:r>
        <w:rPr>
          <w:rFonts w:hint="default" w:ascii="Times New Roman" w:hAnsi="Times New Roman" w:eastAsia="仿宋_GB2312" w:cs="Times New Roman"/>
          <w:color w:val="auto"/>
          <w:kern w:val="0"/>
          <w:sz w:val="36"/>
          <w:szCs w:val="36"/>
        </w:rPr>
        <w:t>日</w:t>
      </w:r>
    </w:p>
    <w:p w14:paraId="49FAD423">
      <w:pPr>
        <w:spacing w:line="540" w:lineRule="exact"/>
        <w:ind w:firstLine="640"/>
        <w:rPr>
          <w:rStyle w:val="18"/>
          <w:rFonts w:hint="default" w:ascii="Times New Roman" w:hAnsi="Times New Roman" w:eastAsia="黑体" w:cs="Times New Roman"/>
          <w:b w:val="0"/>
          <w:color w:val="auto"/>
          <w:spacing w:val="-4"/>
          <w:sz w:val="32"/>
          <w:szCs w:val="32"/>
        </w:rPr>
      </w:pPr>
    </w:p>
    <w:p w14:paraId="76A039E0">
      <w:pPr>
        <w:spacing w:line="540" w:lineRule="exact"/>
        <w:rPr>
          <w:rStyle w:val="18"/>
          <w:rFonts w:hint="default" w:ascii="Times New Roman" w:hAnsi="Times New Roman" w:eastAsia="黑体" w:cs="Times New Roman"/>
          <w:b w:val="0"/>
          <w:color w:val="auto"/>
          <w:spacing w:val="-4"/>
          <w:sz w:val="32"/>
          <w:szCs w:val="32"/>
        </w:rPr>
      </w:pPr>
    </w:p>
    <w:p w14:paraId="13857DDB">
      <w:pPr>
        <w:spacing w:line="560" w:lineRule="exact"/>
        <w:ind w:firstLine="640" w:firstLineChars="200"/>
        <w:rPr>
          <w:rFonts w:hint="default" w:ascii="Times New Roman" w:hAnsi="Times New Roman" w:eastAsia="黑体" w:cs="Times New Roman"/>
          <w:bCs/>
          <w:color w:val="auto"/>
          <w:sz w:val="32"/>
          <w:szCs w:val="32"/>
        </w:rPr>
        <w:sectPr>
          <w:pgSz w:w="11906" w:h="16838"/>
          <w:pgMar w:top="1440" w:right="1558" w:bottom="1440" w:left="1800" w:header="851" w:footer="992" w:gutter="0"/>
          <w:cols w:space="425" w:num="1"/>
          <w:docGrid w:type="lines" w:linePitch="312" w:charSpace="0"/>
        </w:sectPr>
      </w:pPr>
    </w:p>
    <w:p w14:paraId="34E134E3">
      <w:pPr>
        <w:spacing w:line="560" w:lineRule="exact"/>
        <w:ind w:firstLine="640" w:firstLineChars="200"/>
        <w:rPr>
          <w:rFonts w:hint="default" w:ascii="Times New Roman" w:hAnsi="Times New Roman" w:eastAsia="黑体" w:cs="Times New Roman"/>
          <w:bCs/>
          <w:color w:val="auto"/>
          <w:sz w:val="32"/>
          <w:szCs w:val="32"/>
        </w:rPr>
      </w:pPr>
      <w:r>
        <w:rPr>
          <w:rFonts w:hint="default" w:ascii="Times New Roman" w:hAnsi="Times New Roman" w:eastAsia="黑体" w:cs="Times New Roman"/>
          <w:bCs/>
          <w:color w:val="auto"/>
          <w:sz w:val="32"/>
          <w:szCs w:val="32"/>
        </w:rPr>
        <w:t>一、基本情况</w:t>
      </w:r>
    </w:p>
    <w:p w14:paraId="6F7D450B">
      <w:p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（一）项目概况</w:t>
      </w:r>
    </w:p>
    <w:p w14:paraId="7B944AD3">
      <w:pPr>
        <w:spacing w:line="560" w:lineRule="exact"/>
        <w:ind w:firstLine="643" w:firstLineChars="200"/>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bCs/>
          <w:color w:val="auto"/>
          <w:sz w:val="32"/>
          <w:szCs w:val="32"/>
        </w:rPr>
        <w:t>项目背景</w:t>
      </w:r>
    </w:p>
    <w:p w14:paraId="611E5719">
      <w:pPr>
        <w:spacing w:line="600" w:lineRule="exact"/>
        <w:ind w:firstLine="624" w:firstLineChars="200"/>
        <w:rPr>
          <w:rStyle w:val="18"/>
          <w:rFonts w:hint="eastAsia" w:ascii="仿宋_GB2312" w:hAnsi="仿宋_GB2312" w:eastAsia="仿宋_GB2312" w:cs="仿宋_GB2312"/>
          <w:b w:val="0"/>
          <w:color w:val="auto"/>
          <w:spacing w:val="-4"/>
          <w:sz w:val="32"/>
          <w:szCs w:val="32"/>
          <w:highlight w:val="none"/>
          <w:lang w:val="en-US" w:eastAsia="zh-CN"/>
        </w:rPr>
      </w:pPr>
      <w:r>
        <w:rPr>
          <w:rStyle w:val="18"/>
          <w:rFonts w:hint="eastAsia" w:ascii="仿宋_GB2312" w:hAnsi="仿宋_GB2312" w:eastAsia="仿宋_GB2312" w:cs="仿宋_GB2312"/>
          <w:b w:val="0"/>
          <w:color w:val="auto"/>
          <w:spacing w:val="-4"/>
          <w:sz w:val="32"/>
          <w:szCs w:val="32"/>
          <w:highlight w:val="none"/>
          <w:lang w:val="en-US" w:eastAsia="zh-CN"/>
        </w:rPr>
        <w:t>西部区域无线电监测控制中心是自治区无线电管理局根据《国家无线电管理 “十一五”规划》和《新疆无线电管理“十一五”规划）》在“十二五”期间建设并投入使用的重要无线电基础和技术设施，包含新疆无线电监测指挥控制中心（经信委综合楼2-4楼）、水清木华A级监控中心（水清木华综合写字楼22-25层）、无线电校准测试场（新疆无线电安全保障监测实训基地）。西部区域无线电监测控制中心2013年投入使用以来，保证了新疆各种无线电业务的正常开展，为国防建设和经济、社会发展做出了重要贡献。</w:t>
      </w:r>
    </w:p>
    <w:p w14:paraId="6F2F051C">
      <w:pPr>
        <w:pStyle w:val="2"/>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lang w:val="en-US" w:eastAsia="zh-CN"/>
        </w:rPr>
      </w:pPr>
      <w:r>
        <w:rPr>
          <w:rFonts w:hint="default" w:ascii="Times New Roman" w:hAnsi="Times New Roman" w:eastAsia="仿宋_GB2312" w:cs="Times New Roman"/>
          <w:color w:val="auto"/>
          <w:kern w:val="2"/>
          <w:lang w:val="en-US" w:eastAsia="zh-CN"/>
        </w:rPr>
        <w:t>2.</w:t>
      </w:r>
      <w:r>
        <w:rPr>
          <w:rFonts w:hint="default" w:ascii="Times New Roman" w:hAnsi="Times New Roman" w:eastAsia="仿宋_GB2312" w:cs="Times New Roman"/>
          <w:color w:val="auto"/>
          <w:kern w:val="2"/>
        </w:rPr>
        <w:t>项目主要内容</w:t>
      </w:r>
      <w:r>
        <w:rPr>
          <w:rFonts w:hint="eastAsia" w:ascii="Times New Roman" w:hAnsi="Times New Roman" w:eastAsia="仿宋_GB2312" w:cs="Times New Roman"/>
          <w:color w:val="auto"/>
          <w:kern w:val="2"/>
          <w:lang w:val="en-US" w:eastAsia="zh-CN"/>
        </w:rPr>
        <w:t>及实施情况</w:t>
      </w:r>
    </w:p>
    <w:p w14:paraId="7008EB36">
      <w:pPr>
        <w:spacing w:line="600" w:lineRule="exact"/>
        <w:ind w:firstLine="624" w:firstLineChars="200"/>
        <w:rPr>
          <w:rFonts w:hint="default" w:ascii="Times New Roman" w:hAnsi="Times New Roman" w:eastAsia="黑体" w:cs="Times New Roman"/>
          <w:color w:val="auto"/>
          <w:highlight w:val="yellow"/>
          <w:lang w:eastAsia="zh-CN"/>
        </w:rPr>
      </w:pPr>
      <w:r>
        <w:rPr>
          <w:rStyle w:val="18"/>
          <w:rFonts w:hint="default" w:ascii="仿宋_GB2312" w:hAnsi="仿宋_GB2312" w:eastAsia="仿宋_GB2312" w:cs="仿宋_GB2312"/>
          <w:b w:val="0"/>
          <w:color w:val="auto"/>
          <w:spacing w:val="-4"/>
          <w:sz w:val="32"/>
          <w:szCs w:val="32"/>
          <w:highlight w:val="none"/>
          <w:lang w:val="en-US" w:eastAsia="zh-CN"/>
        </w:rPr>
        <w:t>项目主要内容：</w:t>
      </w:r>
      <w:r>
        <w:rPr>
          <w:rStyle w:val="18"/>
          <w:rFonts w:hint="eastAsia" w:ascii="仿宋_GB2312" w:hAnsi="仿宋_GB2312" w:eastAsia="仿宋_GB2312" w:cs="仿宋_GB2312"/>
          <w:b w:val="0"/>
          <w:color w:val="auto"/>
          <w:spacing w:val="-4"/>
          <w:sz w:val="32"/>
          <w:szCs w:val="32"/>
          <w:highlight w:val="none"/>
          <w:lang w:eastAsia="zh-CN"/>
        </w:rPr>
        <w:t>根据</w:t>
      </w:r>
      <w:r>
        <w:rPr>
          <w:rStyle w:val="18"/>
          <w:rFonts w:hint="eastAsia" w:ascii="仿宋_GB2312" w:hAnsi="仿宋_GB2312" w:eastAsia="仿宋_GB2312" w:cs="仿宋_GB2312"/>
          <w:b w:val="0"/>
          <w:color w:val="auto"/>
          <w:spacing w:val="-4"/>
          <w:sz w:val="32"/>
          <w:szCs w:val="32"/>
          <w:highlight w:val="none"/>
          <w:lang w:val="en-US" w:eastAsia="zh-CN"/>
        </w:rPr>
        <w:t>西部区域无线电监测控制中心改造项目、西部区域无线电监测控制中心改造项目、西部区域无线电监测控制中心无线电校准测试场业务用房及转台道路、无线电安全保障监测实训基地应用与管理展厅增加消防设施维修及展品配套工程项目</w:t>
      </w:r>
      <w:r>
        <w:rPr>
          <w:rStyle w:val="18"/>
          <w:rFonts w:hint="eastAsia" w:ascii="仿宋_GB2312" w:hAnsi="仿宋_GB2312" w:eastAsia="仿宋_GB2312" w:cs="仿宋_GB2312"/>
          <w:b w:val="0"/>
          <w:color w:val="auto"/>
          <w:spacing w:val="-4"/>
          <w:sz w:val="32"/>
          <w:szCs w:val="32"/>
          <w:highlight w:val="none"/>
          <w:lang w:eastAsia="zh-CN"/>
        </w:rPr>
        <w:t>要求</w:t>
      </w:r>
      <w:r>
        <w:rPr>
          <w:rStyle w:val="18"/>
          <w:rFonts w:hint="eastAsia" w:ascii="仿宋_GB2312" w:hAnsi="仿宋_GB2312" w:eastAsia="仿宋_GB2312" w:cs="仿宋_GB2312"/>
          <w:b w:val="0"/>
          <w:color w:val="auto"/>
          <w:spacing w:val="-4"/>
          <w:sz w:val="32"/>
          <w:szCs w:val="32"/>
          <w:highlight w:val="none"/>
        </w:rPr>
        <w:t>，</w:t>
      </w:r>
      <w:r>
        <w:rPr>
          <w:rStyle w:val="18"/>
          <w:rFonts w:hint="eastAsia" w:ascii="仿宋_GB2312" w:hAnsi="仿宋_GB2312" w:eastAsia="仿宋_GB2312" w:cs="仿宋_GB2312"/>
          <w:b w:val="0"/>
          <w:color w:val="auto"/>
          <w:spacing w:val="-4"/>
          <w:sz w:val="32"/>
          <w:szCs w:val="32"/>
          <w:highlight w:val="none"/>
          <w:lang w:eastAsia="zh-CN"/>
        </w:rPr>
        <w:t>结合工作实际，</w:t>
      </w:r>
      <w:r>
        <w:rPr>
          <w:rStyle w:val="18"/>
          <w:rFonts w:hint="eastAsia" w:ascii="仿宋_GB2312" w:hAnsi="仿宋_GB2312" w:eastAsia="仿宋_GB2312" w:cs="仿宋_GB2312"/>
          <w:b w:val="0"/>
          <w:bCs w:val="0"/>
          <w:color w:val="auto"/>
          <w:spacing w:val="-4"/>
          <w:sz w:val="32"/>
          <w:szCs w:val="32"/>
          <w:highlight w:val="none"/>
          <w:lang w:val="en-US" w:eastAsia="zh-CN"/>
        </w:rPr>
        <w:t>我厅申报2024年西部区域无线电监测控制中心改造和功能提升项目预算194.4万元，</w:t>
      </w:r>
      <w:r>
        <w:rPr>
          <w:rStyle w:val="18"/>
          <w:rFonts w:hint="eastAsia" w:ascii="仿宋_GB2312" w:hAnsi="仿宋_GB2312" w:eastAsia="仿宋_GB2312" w:cs="仿宋_GB2312"/>
          <w:b w:val="0"/>
          <w:color w:val="auto"/>
          <w:spacing w:val="-4"/>
          <w:sz w:val="32"/>
          <w:szCs w:val="32"/>
          <w:highlight w:val="none"/>
          <w:lang w:val="en-US" w:eastAsia="zh-CN"/>
        </w:rPr>
        <w:t>主要用于西部区域无线电监测控制中心改造项目、西部区域无线电监测控制中心改造项目、西部区域无线电监测控制中心无线电校准测试场业务用房及转台道路、无线电安全保障监测实训基地应用与管理展厅增加消防设施维修及展品配套工程项目实施</w:t>
      </w:r>
      <w:r>
        <w:rPr>
          <w:rStyle w:val="18"/>
          <w:rFonts w:hint="eastAsia" w:ascii="仿宋_GB2312" w:hAnsi="仿宋_GB2312" w:eastAsia="仿宋_GB2312" w:cs="仿宋_GB2312"/>
          <w:b w:val="0"/>
          <w:bCs w:val="0"/>
          <w:color w:val="auto"/>
          <w:spacing w:val="-4"/>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确保</w:t>
      </w:r>
      <w:r>
        <w:rPr>
          <w:rFonts w:hint="eastAsia" w:ascii="Times New Roman" w:hAnsi="Times New Roman" w:eastAsia="仿宋_GB2312" w:cs="Times New Roman"/>
          <w:color w:val="auto"/>
          <w:sz w:val="32"/>
          <w:szCs w:val="32"/>
          <w:highlight w:val="none"/>
        </w:rPr>
        <w:t>各种无线电业务的</w:t>
      </w:r>
      <w:r>
        <w:rPr>
          <w:rFonts w:hint="eastAsia" w:ascii="Times New Roman" w:hAnsi="Times New Roman" w:eastAsia="仿宋_GB2312" w:cs="Times New Roman"/>
          <w:color w:val="auto"/>
          <w:sz w:val="32"/>
          <w:szCs w:val="32"/>
          <w:highlight w:val="none"/>
          <w:lang w:val="en-US" w:eastAsia="zh-CN"/>
        </w:rPr>
        <w:t>顺利开展</w:t>
      </w:r>
      <w:r>
        <w:rPr>
          <w:rStyle w:val="18"/>
          <w:rFonts w:hint="eastAsia" w:ascii="仿宋_GB2312" w:hAnsi="仿宋_GB2312" w:eastAsia="仿宋_GB2312" w:cs="仿宋_GB2312"/>
          <w:b w:val="0"/>
          <w:color w:val="auto"/>
          <w:spacing w:val="-4"/>
          <w:sz w:val="32"/>
          <w:szCs w:val="32"/>
          <w:highlight w:val="none"/>
          <w:lang w:val="en-US" w:eastAsia="zh-CN"/>
        </w:rPr>
        <w:t>。</w:t>
      </w:r>
    </w:p>
    <w:p w14:paraId="1C90ACA4">
      <w:pPr>
        <w:spacing w:line="560" w:lineRule="exact"/>
        <w:ind w:firstLine="600" w:firstLineChars="200"/>
        <w:rPr>
          <w:rFonts w:eastAsia="仿宋_GB2312"/>
          <w:color w:val="auto"/>
          <w:sz w:val="32"/>
          <w:szCs w:val="32"/>
          <w:highlight w:val="none"/>
        </w:rPr>
      </w:pPr>
      <w:r>
        <w:rPr>
          <w:rFonts w:hint="default" w:ascii="Times New Roman" w:hAnsi="Times New Roman" w:eastAsia="仿宋_GB2312" w:cs="Times New Roman"/>
          <w:color w:val="auto"/>
          <w:sz w:val="30"/>
          <w:szCs w:val="30"/>
          <w:highlight w:val="none"/>
          <w:lang w:val="en-US" w:eastAsia="zh-CN"/>
        </w:rPr>
        <w:t>项目实施情况</w:t>
      </w:r>
      <w:r>
        <w:rPr>
          <w:rFonts w:hint="default" w:ascii="Times New Roman" w:hAnsi="Times New Roman" w:eastAsia="仿宋_GB2312" w:cs="Times New Roman"/>
          <w:color w:val="auto"/>
          <w:sz w:val="32"/>
          <w:szCs w:val="32"/>
        </w:rPr>
        <w:t>：</w:t>
      </w:r>
      <w:r>
        <w:rPr>
          <w:rFonts w:eastAsia="仿宋_GB2312"/>
          <w:color w:val="auto"/>
          <w:sz w:val="32"/>
          <w:szCs w:val="32"/>
          <w:highlight w:val="none"/>
        </w:rPr>
        <w:t>项目目前已经完成实际设立的目标，项目在实施过程中严格按照目标设立的各阶段任务开展工作，在前期立项过程中严格把质量关，建立安全防护机制，保证项目实施各阶段安全顺利进行。</w:t>
      </w:r>
    </w:p>
    <w:p w14:paraId="67D3A1A0">
      <w:pPr>
        <w:spacing w:line="560" w:lineRule="exact"/>
        <w:ind w:firstLine="640" w:firstLineChars="200"/>
        <w:rPr>
          <w:rFonts w:hint="default" w:ascii="Times New Roman" w:hAnsi="Times New Roman" w:cs="Times New Roman"/>
          <w:color w:val="auto"/>
        </w:rPr>
      </w:pPr>
      <w:r>
        <w:rPr>
          <w:rFonts w:eastAsia="仿宋_GB2312"/>
          <w:color w:val="auto"/>
          <w:sz w:val="32"/>
          <w:szCs w:val="32"/>
          <w:highlight w:val="none"/>
        </w:rPr>
        <w:t>本项目总投资</w:t>
      </w:r>
      <w:r>
        <w:rPr>
          <w:rFonts w:hint="eastAsia" w:eastAsia="仿宋_GB2312"/>
          <w:color w:val="auto"/>
          <w:sz w:val="32"/>
          <w:szCs w:val="32"/>
          <w:highlight w:val="none"/>
          <w:lang w:val="en-US" w:eastAsia="zh-CN"/>
        </w:rPr>
        <w:t>194.4</w:t>
      </w:r>
      <w:r>
        <w:rPr>
          <w:rFonts w:eastAsia="仿宋_GB2312"/>
          <w:color w:val="auto"/>
          <w:sz w:val="32"/>
          <w:szCs w:val="32"/>
          <w:highlight w:val="none"/>
        </w:rPr>
        <w:t>万元，其中：</w:t>
      </w:r>
      <w:r>
        <w:rPr>
          <w:rFonts w:hint="eastAsia" w:eastAsia="仿宋_GB2312"/>
          <w:color w:val="auto"/>
          <w:sz w:val="32"/>
          <w:szCs w:val="32"/>
          <w:highlight w:val="none"/>
          <w:lang w:eastAsia="zh-CN"/>
        </w:rPr>
        <w:t>其他</w:t>
      </w:r>
      <w:r>
        <w:rPr>
          <w:rFonts w:eastAsia="仿宋_GB2312"/>
          <w:color w:val="auto"/>
          <w:sz w:val="32"/>
          <w:szCs w:val="32"/>
          <w:highlight w:val="none"/>
        </w:rPr>
        <w:t>资金</w:t>
      </w:r>
      <w:r>
        <w:rPr>
          <w:rFonts w:hint="eastAsia" w:eastAsia="仿宋_GB2312"/>
          <w:color w:val="auto"/>
          <w:sz w:val="32"/>
          <w:szCs w:val="32"/>
          <w:highlight w:val="none"/>
          <w:lang w:val="en-US" w:eastAsia="zh-CN"/>
        </w:rPr>
        <w:t>194.4</w:t>
      </w:r>
      <w:r>
        <w:rPr>
          <w:rFonts w:eastAsia="仿宋_GB2312"/>
          <w:color w:val="auto"/>
          <w:sz w:val="32"/>
          <w:szCs w:val="32"/>
          <w:highlight w:val="none"/>
        </w:rPr>
        <w:t>万元。项目实际支出</w:t>
      </w:r>
      <w:r>
        <w:rPr>
          <w:rFonts w:hint="eastAsia" w:eastAsia="仿宋_GB2312"/>
          <w:color w:val="auto"/>
          <w:sz w:val="32"/>
          <w:szCs w:val="32"/>
          <w:highlight w:val="none"/>
          <w:lang w:val="en-US" w:eastAsia="zh-CN"/>
        </w:rPr>
        <w:t>188.32</w:t>
      </w:r>
      <w:r>
        <w:rPr>
          <w:rFonts w:eastAsia="仿宋_GB2312"/>
          <w:color w:val="auto"/>
          <w:sz w:val="32"/>
          <w:szCs w:val="32"/>
          <w:highlight w:val="none"/>
        </w:rPr>
        <w:t>万元，支出率为</w:t>
      </w:r>
      <w:r>
        <w:rPr>
          <w:rFonts w:hint="eastAsia" w:eastAsia="仿宋_GB2312"/>
          <w:color w:val="auto"/>
          <w:sz w:val="32"/>
          <w:szCs w:val="32"/>
          <w:highlight w:val="none"/>
          <w:lang w:val="en-US" w:eastAsia="zh-CN"/>
        </w:rPr>
        <w:t>96.87</w:t>
      </w:r>
      <w:r>
        <w:rPr>
          <w:rFonts w:eastAsia="仿宋_GB2312"/>
          <w:color w:val="auto"/>
          <w:sz w:val="32"/>
          <w:szCs w:val="32"/>
          <w:highlight w:val="none"/>
        </w:rPr>
        <w:t>%。</w:t>
      </w:r>
    </w:p>
    <w:p w14:paraId="61951A13">
      <w:pPr>
        <w:spacing w:line="560" w:lineRule="exact"/>
        <w:ind w:firstLine="643" w:firstLineChars="200"/>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3</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bCs/>
          <w:color w:val="auto"/>
          <w:sz w:val="32"/>
          <w:szCs w:val="32"/>
        </w:rPr>
        <w:t>资金投入和使用情况</w:t>
      </w:r>
    </w:p>
    <w:p w14:paraId="5196A83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702096B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194.4</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194.4</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其他资金</w:t>
      </w:r>
      <w:r>
        <w:rPr>
          <w:rFonts w:hint="default" w:ascii="Times New Roman" w:hAnsi="Times New Roman" w:eastAsia="仿宋_GB2312" w:cs="Times New Roman"/>
          <w:color w:val="auto"/>
          <w:sz w:val="32"/>
          <w:szCs w:val="32"/>
          <w:highlight w:val="none"/>
          <w:lang w:val="en-US" w:eastAsia="zh-CN"/>
        </w:rPr>
        <w:t>。</w:t>
      </w:r>
    </w:p>
    <w:p w14:paraId="0FB9CE0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01E3828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194.4</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194.4</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188.32</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96.87</w:t>
      </w:r>
      <w:r>
        <w:rPr>
          <w:rFonts w:hint="default" w:ascii="Times New Roman" w:hAnsi="Times New Roman" w:eastAsia="仿宋_GB2312" w:cs="Times New Roman"/>
          <w:color w:val="auto"/>
          <w:sz w:val="32"/>
          <w:szCs w:val="32"/>
          <w:highlight w:val="none"/>
          <w:lang w:val="en-US" w:eastAsia="zh-CN"/>
        </w:rPr>
        <w:t>%，主要用于：支付项目实施进程中的各项费用。</w:t>
      </w:r>
    </w:p>
    <w:p w14:paraId="777132B5">
      <w:p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（二）项目绩效目标</w:t>
      </w:r>
    </w:p>
    <w:p w14:paraId="34A7B4AA">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color w:val="auto"/>
          <w:sz w:val="32"/>
          <w:szCs w:val="32"/>
        </w:rPr>
        <w:t>总体目标</w:t>
      </w:r>
    </w:p>
    <w:p w14:paraId="0A098D25">
      <w:pPr>
        <w:shd w:val="clear"/>
        <w:spacing w:line="60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(1)完成西部区域无线电监测控制中心改造项目实施；</w:t>
      </w:r>
    </w:p>
    <w:p w14:paraId="53E5AA8E">
      <w:pPr>
        <w:shd w:val="clear"/>
        <w:spacing w:line="60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 xml:space="preserve">(2)完成西部区域无线电监测控制中心基础功能提升和设施改造项目实施；            </w:t>
      </w:r>
    </w:p>
    <w:p w14:paraId="5AD19837">
      <w:pPr>
        <w:shd w:val="clear"/>
        <w:spacing w:line="60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(3)完成西部区域无线电监测控制中心无线电校准测试场业务用房及转台道路改造项目实施；</w:t>
      </w:r>
    </w:p>
    <w:p w14:paraId="0FA8E2F7">
      <w:pPr>
        <w:shd w:val="clear"/>
        <w:spacing w:line="60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(4)完成无线电安全保障监测实训基地应用与管理展厅增加消防设施维修及展品配套工程项目实施。</w:t>
      </w:r>
    </w:p>
    <w:p w14:paraId="61126649">
      <w:pPr>
        <w:spacing w:line="560" w:lineRule="exact"/>
        <w:ind w:firstLine="640" w:firstLineChars="200"/>
        <w:rPr>
          <w:rFonts w:hint="default" w:ascii="Times New Roman" w:hAnsi="Times New Roman" w:eastAsia="仿宋_GB2312" w:cs="Times New Roman"/>
          <w:color w:val="auto"/>
          <w:sz w:val="30"/>
          <w:szCs w:val="30"/>
          <w:highlight w:val="none"/>
          <w:lang w:val="en-US" w:eastAsia="zh-CN"/>
        </w:rPr>
      </w:pPr>
      <w:r>
        <w:rPr>
          <w:rFonts w:hint="default" w:ascii="Times New Roman" w:hAnsi="Times New Roman" w:eastAsia="仿宋_GB2312" w:cs="Times New Roman"/>
          <w:color w:val="auto"/>
          <w:sz w:val="32"/>
          <w:szCs w:val="32"/>
        </w:rPr>
        <w:t>2</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color w:val="auto"/>
          <w:sz w:val="32"/>
          <w:szCs w:val="32"/>
        </w:rPr>
        <w:t>阶段性目标</w:t>
      </w:r>
    </w:p>
    <w:p w14:paraId="61260245">
      <w:pPr>
        <w:shd w:val="clea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（1）前期准备：通过制定项目实施方案，经项目负责人审核通过后，有序开展后续工作。</w:t>
      </w:r>
    </w:p>
    <w:p w14:paraId="1F8C0A56">
      <w:pPr>
        <w:shd w:val="clea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（2）组织实施：资金一到位，立即根据项目要求实施项目。项目责任人按照项目实施方案要求逐一进行项目部署安排，提高项目质量及效率。</w:t>
      </w:r>
    </w:p>
    <w:p w14:paraId="61722464">
      <w:p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二、绩效评价工作开展情况</w:t>
      </w:r>
    </w:p>
    <w:p w14:paraId="1E1E8446">
      <w:p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（一）绩效评价目的、对象和范围</w:t>
      </w:r>
    </w:p>
    <w:p w14:paraId="6A9B875F">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4FC02CEE">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41B9C5E">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14:paraId="09453D84">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9856C10">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07FDC8A">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68C671D">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绩效评价的目的</w:t>
      </w:r>
    </w:p>
    <w:p w14:paraId="1CEB2C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3C0D5B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通过对项目预算执行情况及各项绩效目标达成程度的系统性分析，全面、客观地评估项目在预定周期内的实施效果，包括经济效益、社会效益以及可持续性等多维度指标，为项目后续的改进与优化提供科学依据。</w:t>
      </w:r>
    </w:p>
    <w:p w14:paraId="6C9C2F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094FEF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7E27FF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0AD4CD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8BEE1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26B9DF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1C9A37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4871E6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8EBA9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C432962">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lang w:val="en-US" w:eastAsia="zh-CN"/>
        </w:rPr>
        <w:t>3</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val="0"/>
          <w:bCs w:val="0"/>
          <w:color w:val="auto"/>
        </w:rPr>
        <w:t>绩效评价的对象</w:t>
      </w:r>
    </w:p>
    <w:p w14:paraId="41733AF1">
      <w:pPr>
        <w:pStyle w:val="2"/>
        <w:shd w:val="clear"/>
        <w:spacing w:before="0" w:after="0" w:line="600" w:lineRule="exact"/>
        <w:ind w:firstLine="640" w:firstLineChars="200"/>
        <w:jc w:val="both"/>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highlight w:val="none"/>
        </w:rPr>
        <w:t>本项目预算绩效评价报告的评价对象是</w:t>
      </w:r>
      <w:r>
        <w:rPr>
          <w:rStyle w:val="18"/>
          <w:rFonts w:hint="eastAsia" w:ascii="仿宋_GB2312" w:hAnsi="仿宋_GB2312" w:eastAsia="仿宋_GB2312" w:cs="仿宋_GB2312"/>
          <w:b w:val="0"/>
          <w:bCs w:val="0"/>
          <w:color w:val="auto"/>
          <w:spacing w:val="-4"/>
          <w:sz w:val="32"/>
          <w:szCs w:val="32"/>
          <w:highlight w:val="none"/>
          <w:lang w:val="en-US" w:eastAsia="zh-CN"/>
        </w:rPr>
        <w:t>2024年西部区域无线电监测控制中心改造和功能提升项目</w:t>
      </w:r>
      <w:r>
        <w:rPr>
          <w:rFonts w:hint="eastAsia" w:ascii="Times New Roman" w:hAnsi="Times New Roman" w:eastAsia="仿宋_GB2312" w:cs="Times New Roman"/>
          <w:b w:val="0"/>
          <w:bCs w:val="0"/>
          <w:color w:val="auto"/>
          <w:highlight w:val="none"/>
        </w:rPr>
        <w:t>所包含的全部项目建设内容</w:t>
      </w:r>
      <w:r>
        <w:rPr>
          <w:rFonts w:hint="default" w:ascii="Times New Roman" w:hAnsi="Times New Roman" w:eastAsia="仿宋_GB2312" w:cs="Times New Roman"/>
          <w:b w:val="0"/>
          <w:bCs w:val="0"/>
          <w:color w:val="auto"/>
          <w:highlight w:val="none"/>
        </w:rPr>
        <w:t>及其预算执行情况。该项目由</w:t>
      </w:r>
      <w:r>
        <w:rPr>
          <w:rFonts w:hint="eastAsia" w:ascii="Times New Roman" w:hAnsi="Times New Roman" w:eastAsia="仿宋_GB2312" w:cs="Times New Roman"/>
          <w:b w:val="0"/>
          <w:bCs w:val="0"/>
          <w:color w:val="auto"/>
          <w:highlight w:val="none"/>
          <w:lang w:eastAsia="zh-CN"/>
        </w:rPr>
        <w:t>无线电监测中心</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b w:val="0"/>
          <w:bCs w:val="0"/>
          <w:color w:val="auto"/>
          <w:highlight w:val="none"/>
          <w:lang w:eastAsia="zh-CN"/>
        </w:rPr>
        <w:t>乌鲁木齐市无线电管理中心</w:t>
      </w:r>
      <w:r>
        <w:rPr>
          <w:rFonts w:hint="default" w:ascii="Times New Roman" w:hAnsi="Times New Roman" w:eastAsia="仿宋_GB2312" w:cs="Times New Roman"/>
          <w:b w:val="0"/>
          <w:bCs w:val="0"/>
          <w:color w:val="auto"/>
          <w:highlight w:val="none"/>
        </w:rPr>
        <w:t>负责实施，旨在</w:t>
      </w:r>
      <w:r>
        <w:rPr>
          <w:rFonts w:hint="eastAsia" w:ascii="Times New Roman" w:hAnsi="Times New Roman" w:eastAsia="仿宋_GB2312" w:cs="Times New Roman"/>
          <w:b w:val="0"/>
          <w:bCs w:val="0"/>
          <w:color w:val="auto"/>
          <w:highlight w:val="none"/>
          <w:lang w:eastAsia="zh-CN"/>
        </w:rPr>
        <w:t>保证了新疆各种无线电业务的正常开展，为国防建设和经济、社会发展做出了重要贡献</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项目预算涵盖从</w:t>
      </w:r>
      <w:r>
        <w:rPr>
          <w:rFonts w:hint="eastAsia" w:ascii="Times New Roman" w:hAnsi="Times New Roman" w:eastAsia="仿宋_GB2312" w:cs="Times New Roman"/>
          <w:b w:val="0"/>
          <w:bCs w:val="0"/>
          <w:color w:val="auto"/>
          <w:highlight w:val="none"/>
          <w:lang w:val="en-US" w:eastAsia="zh"/>
        </w:rPr>
        <w:t>2024</w:t>
      </w:r>
      <w:r>
        <w:rPr>
          <w:rFonts w:hint="eastAsia" w:ascii="Times New Roman" w:hAnsi="Times New Roman" w:eastAsia="仿宋_GB2312" w:cs="Times New Roman"/>
          <w:b w:val="0"/>
          <w:bCs w:val="0"/>
          <w:color w:val="auto"/>
          <w:highlight w:val="none"/>
          <w:lang w:val="en-US" w:eastAsia="zh-CN"/>
        </w:rPr>
        <w:t>年1月</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2024年12月</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188.32</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14:paraId="17C62E7E">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lang w:val="en-US" w:eastAsia="zh-CN"/>
        </w:rPr>
        <w:t>4.</w:t>
      </w:r>
      <w:r>
        <w:rPr>
          <w:rFonts w:hint="default" w:ascii="Times New Roman" w:hAnsi="Times New Roman" w:eastAsia="仿宋_GB2312" w:cs="Times New Roman"/>
          <w:b w:val="0"/>
          <w:bCs w:val="0"/>
          <w:color w:val="auto"/>
        </w:rPr>
        <w:t>绩效评价的范围</w:t>
      </w:r>
    </w:p>
    <w:p w14:paraId="535A0409">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414EA42D">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0BF8F948">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63EF009E">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437F675F">
      <w:pPr>
        <w:pStyle w:val="2"/>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green"/>
          <w:lang w:eastAsia="zh-CN"/>
        </w:rPr>
      </w:pP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4</w:t>
      </w:r>
      <w:r>
        <w:rPr>
          <w:rFonts w:hint="eastAsia"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经济</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影响：考察项目对社会、经济等方面的综合影响。</w:t>
      </w:r>
    </w:p>
    <w:p w14:paraId="080760DA">
      <w:pPr>
        <w:spacing w:line="560" w:lineRule="exact"/>
        <w:ind w:firstLine="643" w:firstLineChars="200"/>
        <w:rPr>
          <w:rFonts w:hint="default" w:ascii="Times New Roman" w:hAnsi="Times New Roman" w:cs="Times New Roman"/>
          <w:color w:val="auto"/>
        </w:rPr>
      </w:pPr>
      <w:r>
        <w:rPr>
          <w:rFonts w:hint="default" w:ascii="Times New Roman" w:hAnsi="Times New Roman" w:eastAsia="楷体_GB2312" w:cs="Times New Roman"/>
          <w:b/>
          <w:bCs/>
          <w:color w:val="auto"/>
          <w:sz w:val="32"/>
          <w:szCs w:val="32"/>
        </w:rPr>
        <w:t>（二）绩效评价原则、评价指标体系（详情见表1）、评价方法、评价标准。</w:t>
      </w:r>
    </w:p>
    <w:p w14:paraId="76DCB532">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1</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val="0"/>
          <w:bCs w:val="0"/>
          <w:color w:val="auto"/>
        </w:rPr>
        <w:t>绩效评价原则</w:t>
      </w:r>
    </w:p>
    <w:p w14:paraId="2B84DD08">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本次项目绩效评价遵循以下基本原则：</w:t>
      </w:r>
    </w:p>
    <w:p w14:paraId="673B43CC">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（1）科学公正。绩效评价应当运用科学合理的方法，按照规范的程序，对项目绩效进行客观、公正的反映。</w:t>
      </w:r>
    </w:p>
    <w:p w14:paraId="403C2BAC">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（2）统筹兼顾。单位自评、部门评价和财政评价应职责明确，各有侧重，相互衔接。单位自评应由项目单位自主实施，即“谁支出、谁自评”。部门评价和财政评价应在单位自评的基础上开展。</w:t>
      </w:r>
    </w:p>
    <w:p w14:paraId="32E06197">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（3）激励约束。绩效评价结果应与预算安排、政策调整、改进管理实质性挂钩，体现奖优罚劣和激励相容导向，有效要安排、低效要压减、无效要问责。</w:t>
      </w:r>
    </w:p>
    <w:p w14:paraId="028CCBA4">
      <w:pPr>
        <w:pStyle w:val="2"/>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（4）公开透明。绩效评价结果应依法依规公开，并自觉接受社会监督。</w:t>
      </w:r>
    </w:p>
    <w:p w14:paraId="229C4AEC">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2</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仿宋_GB2312" w:cs="Times New Roman"/>
          <w:b w:val="0"/>
          <w:bCs w:val="0"/>
          <w:color w:val="auto"/>
        </w:rPr>
        <w:t>评价指标体系</w:t>
      </w:r>
    </w:p>
    <w:p w14:paraId="39834881">
      <w:pPr>
        <w:spacing w:line="560" w:lineRule="exact"/>
        <w:ind w:firstLine="708" w:firstLineChars="200"/>
        <w:rPr>
          <w:rFonts w:hint="default" w:ascii="Times New Roman" w:hAnsi="Times New Roman" w:cs="Times New Roman"/>
          <w:color w:val="auto"/>
          <w:spacing w:val="17"/>
          <w:sz w:val="32"/>
          <w:szCs w:val="32"/>
        </w:rPr>
      </w:pPr>
      <w:r>
        <w:rPr>
          <w:rFonts w:hint="default" w:ascii="Times New Roman" w:hAnsi="Times New Roman" w:eastAsia="仿宋_GB2312" w:cs="Times New Roman"/>
          <w:color w:val="auto"/>
          <w:spacing w:val="17"/>
          <w:sz w:val="32"/>
          <w:szCs w:val="32"/>
        </w:rPr>
        <w:t>绩效评价框架是开展绩效评价的核心。绩效评价框架包括评价准则、关键评价问题、评价指标、数据来源、数据收集方法等。指标体系建立过程如下：</w:t>
      </w:r>
    </w:p>
    <w:p w14:paraId="236DC2AA">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（1）确定评价指标</w:t>
      </w:r>
    </w:p>
    <w:p w14:paraId="0BA23816">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942B69E">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（2）确定权重</w:t>
      </w:r>
    </w:p>
    <w:p w14:paraId="0E6D33FC">
      <w:pPr>
        <w:spacing w:line="560" w:lineRule="exact"/>
        <w:ind w:firstLine="708" w:firstLineChars="200"/>
        <w:rPr>
          <w:rFonts w:hint="default" w:ascii="Times New Roman" w:hAnsi="Times New Roman" w:eastAsia="仿宋_GB2312" w:cs="Times New Roman"/>
          <w:color w:val="auto"/>
          <w:spacing w:val="17"/>
          <w:sz w:val="32"/>
          <w:szCs w:val="32"/>
          <w:lang w:eastAsia="zh-CN"/>
        </w:rPr>
      </w:pPr>
      <w:r>
        <w:rPr>
          <w:rFonts w:hint="default" w:ascii="Times New Roman" w:hAnsi="Times New Roman" w:eastAsia="仿宋_GB2312" w:cs="Times New Roman"/>
          <w:color w:val="auto"/>
          <w:spacing w:val="17"/>
          <w:sz w:val="32"/>
          <w:szCs w:val="32"/>
        </w:rPr>
        <w:t>确定各个指标相对于项目总体绩效的权重分值。在绩效评价指标体系中，项目决策权重为20分，项目过程权重为20分，项目产出权重为40分，项目效益权重为20分。</w:t>
      </w:r>
    </w:p>
    <w:p w14:paraId="07D70774">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（3）确定指标标准值</w:t>
      </w:r>
    </w:p>
    <w:p w14:paraId="231B225E">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指标标准值是绩效评价指标的尺度，既要反映同类项目的先进水平，又要符合项目的实际绩效水平。具体采用计划标准等确定此次绩效评价指标标准值。</w:t>
      </w:r>
    </w:p>
    <w:p w14:paraId="60595552">
      <w:pPr>
        <w:pStyle w:val="2"/>
        <w:spacing w:before="0" w:after="0" w:line="560" w:lineRule="exact"/>
        <w:ind w:firstLine="708" w:firstLineChars="200"/>
        <w:jc w:val="both"/>
        <w:rPr>
          <w:rFonts w:hint="default" w:ascii="Times New Roman" w:hAnsi="Times New Roman" w:eastAsia="仿宋_GB2312" w:cs="Times New Roman"/>
          <w:b w:val="0"/>
          <w:bCs w:val="0"/>
          <w:color w:val="auto"/>
          <w:spacing w:val="17"/>
          <w:kern w:val="2"/>
        </w:rPr>
      </w:pPr>
      <w:r>
        <w:rPr>
          <w:rFonts w:hint="default" w:ascii="Times New Roman" w:hAnsi="Times New Roman" w:eastAsia="仿宋_GB2312" w:cs="Times New Roman"/>
          <w:b w:val="0"/>
          <w:bCs w:val="0"/>
          <w:color w:val="auto"/>
          <w:spacing w:val="17"/>
          <w:kern w:val="2"/>
        </w:rPr>
        <w:t>绩效评价总分值100分，根据综合评分结果，90（含）-100分为优、80（含）-90分为良、60（含）-80分为中、60分以下为差。</w:t>
      </w:r>
    </w:p>
    <w:p w14:paraId="054D236E">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rPr>
      </w:pPr>
      <w:r>
        <w:rPr>
          <w:rFonts w:hint="default" w:ascii="Times New Roman" w:hAnsi="Times New Roman" w:eastAsia="仿宋_GB2312" w:cs="Times New Roman"/>
          <w:b w:val="0"/>
          <w:bCs w:val="0"/>
          <w:color w:val="auto"/>
          <w:spacing w:val="17"/>
        </w:rPr>
        <w:t>具体评价指标体系详情见附件1</w:t>
      </w:r>
    </w:p>
    <w:p w14:paraId="41B2984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rPr>
        <w:t>3</w:t>
      </w:r>
      <w:r>
        <w:rPr>
          <w:rFonts w:hint="default" w:ascii="Times New Roman" w:hAnsi="Times New Roman" w:eastAsia="仿宋_GB2312" w:cs="Times New Roman"/>
          <w:b w:val="0"/>
          <w:bCs w:val="0"/>
          <w:color w:val="auto"/>
          <w:lang w:val="en-US" w:eastAsia="zh-CN"/>
        </w:rPr>
        <w:t>.</w:t>
      </w:r>
      <w:r>
        <w:rPr>
          <w:rFonts w:hint="default" w:ascii="Times New Roman" w:hAnsi="Times New Roman" w:eastAsia="仿宋_GB2312" w:cs="Times New Roman"/>
          <w:b w:val="0"/>
          <w:bCs w:val="0"/>
          <w:color w:val="auto"/>
        </w:rPr>
        <w:t>绩效评价方法</w:t>
      </w:r>
    </w:p>
    <w:p w14:paraId="0C6B8945">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绩效评价从项目决策、项目过程、项目产出、项目效益四个维度进行评价。评价对象为项目目标实施情况，  评价核心为资金的支出完成情况和项目的产出效益。</w:t>
      </w:r>
    </w:p>
    <w:p w14:paraId="6807F40E">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本次评价指标中，既有定性指标又有定量指标，各类指标因考核内容不同和客观标准不同存在较大差异，因此核定具体指标时采用了不同方法，具体评价方法如下：</w:t>
      </w:r>
    </w:p>
    <w:p w14:paraId="5949E8D7">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 xml:space="preserve">（一）成本效益分析法。是指将投入与产出、效益进行关联性分析的方法。 </w:t>
      </w:r>
    </w:p>
    <w:p w14:paraId="2C1ACA32">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（二）比较法。是指将实施情况与绩效目标、历史情况、不同部门和地区同类支出情况进行比较的方法。</w:t>
      </w:r>
    </w:p>
    <w:p w14:paraId="7E1655EF">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eastAsia="仿宋_GB2312" w:cs="Times New Roman"/>
          <w:color w:val="auto"/>
          <w:spacing w:val="17"/>
          <w:sz w:val="32"/>
          <w:szCs w:val="32"/>
          <w:highlight w:val="none"/>
          <w:lang w:val="en-US" w:eastAsia="zh-CN"/>
        </w:rPr>
        <w:t>三</w:t>
      </w:r>
      <w:r>
        <w:rPr>
          <w:rFonts w:hint="default" w:ascii="Times New Roman" w:hAnsi="Times New Roman" w:eastAsia="仿宋_GB2312" w:cs="Times New Roman"/>
          <w:color w:val="auto"/>
          <w:spacing w:val="17"/>
          <w:sz w:val="32"/>
          <w:szCs w:val="32"/>
          <w:highlight w:val="none"/>
        </w:rPr>
        <w:t>）最低成本法。是指在绩效目标确定的前提下，成本最小者为优的方法。</w:t>
      </w:r>
    </w:p>
    <w:p w14:paraId="7B43E302">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14:paraId="2EE7841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lang w:eastAsia="zh-CN"/>
        </w:rPr>
      </w:pPr>
      <w:r>
        <w:rPr>
          <w:rFonts w:hint="default" w:ascii="Times New Roman" w:hAnsi="Times New Roman" w:eastAsia="仿宋_GB2312" w:cs="Times New Roman"/>
          <w:b w:val="0"/>
          <w:bCs w:val="0"/>
          <w:color w:val="auto"/>
        </w:rPr>
        <w:t>绩效评价标准通常包括计划标准、行业标准、历史标准等，用于对绩效指标完成情况进行比较、分析、评价。本次评价主要采用了历史标准。</w:t>
      </w:r>
    </w:p>
    <w:p w14:paraId="6623D27A">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color w:val="auto"/>
          <w:lang w:eastAsia="zh-CN"/>
        </w:rPr>
        <w:t>（</w:t>
      </w:r>
      <w:r>
        <w:rPr>
          <w:rFonts w:hint="default" w:ascii="Times New Roman" w:hAnsi="Times New Roman" w:eastAsia="仿宋_GB2312" w:cs="Times New Roman"/>
          <w:b w:val="0"/>
          <w:bCs w:val="0"/>
          <w:color w:val="auto"/>
          <w:lang w:val="en-US" w:eastAsia="zh-CN"/>
        </w:rPr>
        <w:t>3</w:t>
      </w:r>
      <w:r>
        <w:rPr>
          <w:rFonts w:hint="default" w:ascii="Times New Roman" w:hAnsi="Times New Roman" w:eastAsia="仿宋_GB2312" w:cs="Times New Roman"/>
          <w:b w:val="0"/>
          <w:bCs w:val="0"/>
          <w:color w:val="auto"/>
          <w:lang w:eastAsia="zh-CN"/>
        </w:rPr>
        <w:t>）</w:t>
      </w:r>
      <w:r>
        <w:rPr>
          <w:rFonts w:hint="default" w:ascii="Times New Roman" w:hAnsi="Times New Roman" w:eastAsia="仿宋_GB2312" w:cs="Times New Roman"/>
          <w:b w:val="0"/>
          <w:bCs w:val="0"/>
          <w:color w:val="auto"/>
        </w:rPr>
        <w:t>历史标准。指参照历史数据制定的评价标准，为体现绩效改进的原则，在可实现的条件下应当确定相对较高的评价标准。</w:t>
      </w:r>
    </w:p>
    <w:p w14:paraId="163500F1">
      <w:pPr>
        <w:pStyle w:val="2"/>
        <w:numPr>
          <w:ilvl w:val="0"/>
          <w:numId w:val="3"/>
        </w:numPr>
        <w:spacing w:before="0" w:after="0" w:line="560" w:lineRule="exact"/>
        <w:ind w:firstLine="711" w:firstLineChars="200"/>
        <w:jc w:val="both"/>
        <w:rPr>
          <w:rFonts w:hint="default" w:ascii="Times New Roman" w:hAnsi="Times New Roman" w:eastAsia="楷体" w:cs="Times New Roman"/>
          <w:color w:val="auto"/>
          <w:spacing w:val="17"/>
        </w:rPr>
      </w:pPr>
      <w:r>
        <w:rPr>
          <w:rFonts w:hint="default" w:ascii="Times New Roman" w:hAnsi="Times New Roman" w:eastAsia="楷体" w:cs="Times New Roman"/>
          <w:color w:val="auto"/>
          <w:spacing w:val="17"/>
        </w:rPr>
        <w:t>绩效评价工作过程</w:t>
      </w:r>
    </w:p>
    <w:p w14:paraId="6656BE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前期准备与规划</w:t>
      </w:r>
    </w:p>
    <w:p w14:paraId="5FA4CC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6B592E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501DE4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4E3687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5C9EE7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6AF6C6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33A5FE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05FC3D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7878D5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0012C4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7F3BFB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F75100B">
      <w:pPr>
        <w:numPr>
          <w:ilvl w:val="0"/>
          <w:numId w:val="4"/>
        </w:num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综合评价情况及评价结论（附相关评分表）</w:t>
      </w:r>
    </w:p>
    <w:p w14:paraId="668C0545">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lang w:val="en-US" w:eastAsia="zh-CN"/>
        </w:rPr>
      </w:pP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lang w:val="en-US" w:eastAsia="zh-CN"/>
        </w:rPr>
        <w:t>一</w:t>
      </w: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lang w:val="en-US" w:eastAsia="zh-CN"/>
        </w:rPr>
        <w:t>评价情况</w:t>
      </w:r>
    </w:p>
    <w:p w14:paraId="7F85D50F">
      <w:pPr>
        <w:keepNext w:val="0"/>
        <w:keepLines w:val="0"/>
        <w:widowControl/>
        <w:suppressLineNumbers w:val="0"/>
        <w:ind w:left="0" w:leftChars="0" w:firstLine="640" w:firstLineChars="200"/>
        <w:jc w:val="left"/>
        <w:textAlignment w:val="center"/>
        <w:rPr>
          <w:rFonts w:hint="default"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Style w:val="18"/>
          <w:rFonts w:hint="eastAsia" w:ascii="仿宋_GB2312" w:hAnsi="仿宋_GB2312" w:eastAsia="仿宋_GB2312" w:cs="仿宋_GB2312"/>
          <w:b w:val="0"/>
          <w:bCs w:val="0"/>
          <w:color w:val="auto"/>
          <w:spacing w:val="-4"/>
          <w:sz w:val="32"/>
          <w:szCs w:val="32"/>
          <w:highlight w:val="none"/>
          <w:lang w:val="en-US" w:eastAsia="zh-CN"/>
        </w:rPr>
        <w:t>2024年西部区域无线电监测控制中心改造和功能提升项目</w:t>
      </w:r>
      <w:r>
        <w:rPr>
          <w:rFonts w:hint="eastAsia" w:ascii="Times New Roman" w:hAnsi="Times New Roman" w:eastAsia="仿宋_GB2312" w:cs="Times New Roman"/>
          <w:color w:val="auto"/>
          <w:sz w:val="32"/>
          <w:szCs w:val="32"/>
          <w:highlight w:val="none"/>
          <w:lang w:val="en-US" w:eastAsia="zh-CN"/>
        </w:rPr>
        <w:t>实施</w:t>
      </w:r>
      <w:r>
        <w:rPr>
          <w:rFonts w:hint="eastAsia" w:ascii="仿宋_GB2312" w:hAnsi="仿宋_GB2312" w:eastAsia="仿宋_GB2312" w:cs="仿宋_GB2312"/>
          <w:bCs/>
          <w:color w:val="auto"/>
          <w:spacing w:val="-4"/>
          <w:kern w:val="2"/>
          <w:sz w:val="32"/>
          <w:szCs w:val="32"/>
          <w:highlight w:val="none"/>
          <w:lang w:val="en-US" w:eastAsia="zh-CN" w:bidi="ar-SA"/>
        </w:rPr>
        <w:t>工作</w:t>
      </w:r>
      <w:r>
        <w:rPr>
          <w:rFonts w:hint="default" w:ascii="Times New Roman" w:hAnsi="Times New Roman" w:eastAsia="仿宋_GB2312" w:cs="Times New Roman"/>
          <w:color w:val="auto"/>
          <w:sz w:val="32"/>
          <w:szCs w:val="32"/>
          <w:highlight w:val="none"/>
        </w:rPr>
        <w:t>等方面表现出色，达到了预期的标准与要求。同时，项目也在</w:t>
      </w:r>
      <w:r>
        <w:rPr>
          <w:rFonts w:hint="eastAsia" w:eastAsia="仿宋_GB2312" w:cs="Times New Roman"/>
          <w:color w:val="auto"/>
          <w:sz w:val="32"/>
          <w:szCs w:val="32"/>
          <w:highlight w:val="none"/>
          <w:lang w:eastAsia="zh-CN"/>
        </w:rPr>
        <w:t>经济发展、国防建设和社会稳定方面</w:t>
      </w:r>
      <w:r>
        <w:rPr>
          <w:rFonts w:hint="default" w:ascii="Times New Roman" w:hAnsi="Times New Roman" w:eastAsia="仿宋_GB2312" w:cs="Times New Roman"/>
          <w:color w:val="auto"/>
          <w:sz w:val="32"/>
          <w:szCs w:val="32"/>
          <w:highlight w:val="none"/>
        </w:rPr>
        <w:t>取得了显著的成效，如</w:t>
      </w:r>
      <w:r>
        <w:rPr>
          <w:rFonts w:hint="eastAsia" w:eastAsia="仿宋_GB2312" w:cs="Times New Roman"/>
          <w:color w:val="auto"/>
          <w:sz w:val="32"/>
          <w:szCs w:val="32"/>
          <w:highlight w:val="none"/>
          <w:lang w:eastAsia="zh-CN"/>
        </w:rPr>
        <w:t>助力经济高质量发展，维护社会稳定和长治久安</w:t>
      </w:r>
      <w:r>
        <w:rPr>
          <w:rFonts w:hint="default" w:eastAsia="仿宋_GB2312" w:cs="Times New Roman"/>
          <w:color w:val="auto"/>
          <w:sz w:val="32"/>
          <w:szCs w:val="32"/>
          <w:highlight w:val="none"/>
          <w:lang w:eastAsia="zh-CN"/>
        </w:rPr>
        <w:t>等。</w:t>
      </w:r>
    </w:p>
    <w:p w14:paraId="21CA2E10">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eastAsia="zh-CN"/>
        </w:rPr>
        <w:t>无线电管理处</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3FEF74D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w:t>
      </w:r>
      <w:r>
        <w:rPr>
          <w:rFonts w:hint="eastAsia" w:eastAsia="仿宋_GB2312" w:cs="Times New Roman"/>
          <w:color w:val="auto"/>
          <w:sz w:val="32"/>
          <w:szCs w:val="32"/>
          <w:highlight w:val="none"/>
          <w:lang w:val="en-US" w:eastAsia="zh-CN"/>
        </w:rPr>
        <w:t>经济效益</w:t>
      </w:r>
      <w:r>
        <w:rPr>
          <w:rFonts w:hint="default" w:ascii="Times New Roman" w:hAnsi="Times New Roman" w:eastAsia="仿宋_GB2312" w:cs="Times New Roman"/>
          <w:color w:val="auto"/>
          <w:sz w:val="32"/>
          <w:szCs w:val="32"/>
          <w:highlight w:val="none"/>
        </w:rPr>
        <w:t>等方面产生了积极的影响。具体而言，</w:t>
      </w:r>
      <w:r>
        <w:rPr>
          <w:rStyle w:val="18"/>
          <w:rFonts w:hint="eastAsia" w:ascii="仿宋_GB2312" w:hAnsi="仿宋_GB2312" w:eastAsia="仿宋_GB2312" w:cs="仿宋_GB2312"/>
          <w:b w:val="0"/>
          <w:bCs w:val="0"/>
          <w:color w:val="auto"/>
          <w:spacing w:val="-4"/>
          <w:sz w:val="32"/>
          <w:szCs w:val="32"/>
          <w:highlight w:val="none"/>
          <w:lang w:val="en-US" w:eastAsia="zh-CN"/>
        </w:rPr>
        <w:t>2024年西部区域无线电监测控制中心改造和功能提升项目</w:t>
      </w:r>
      <w:r>
        <w:rPr>
          <w:rFonts w:hint="default" w:ascii="Times New Roman" w:hAnsi="Times New Roman" w:eastAsia="仿宋_GB2312" w:cs="Times New Roman"/>
          <w:color w:val="auto"/>
          <w:sz w:val="32"/>
          <w:szCs w:val="32"/>
          <w:highlight w:val="none"/>
        </w:rPr>
        <w:t>为</w:t>
      </w:r>
      <w:r>
        <w:rPr>
          <w:rFonts w:hint="eastAsia" w:eastAsia="仿宋_GB2312" w:cs="Times New Roman"/>
          <w:color w:val="auto"/>
          <w:sz w:val="32"/>
          <w:szCs w:val="32"/>
          <w:highlight w:val="none"/>
          <w:lang w:eastAsia="zh-CN"/>
        </w:rPr>
        <w:t>无线电保障事业</w:t>
      </w:r>
      <w:r>
        <w:rPr>
          <w:rFonts w:hint="default" w:ascii="Times New Roman" w:hAnsi="Times New Roman" w:eastAsia="仿宋_GB2312" w:cs="Times New Roman"/>
          <w:color w:val="auto"/>
          <w:sz w:val="32"/>
          <w:szCs w:val="32"/>
          <w:highlight w:val="none"/>
        </w:rPr>
        <w:t>带来了实实在在的利益。</w:t>
      </w:r>
    </w:p>
    <w:p w14:paraId="1BF6EF3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Style w:val="18"/>
          <w:rFonts w:hint="eastAsia" w:ascii="仿宋_GB2312" w:hAnsi="仿宋_GB2312" w:eastAsia="仿宋_GB2312" w:cs="仿宋_GB2312"/>
          <w:b w:val="0"/>
          <w:bCs w:val="0"/>
          <w:color w:val="auto"/>
          <w:spacing w:val="-4"/>
          <w:sz w:val="32"/>
          <w:szCs w:val="32"/>
          <w:highlight w:val="none"/>
          <w:lang w:val="en-US" w:eastAsia="zh-CN"/>
        </w:rPr>
        <w:t>2024年西部区域无线电监测控制中心改造和功能提升项目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p>
    <w:p w14:paraId="63FB2618">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lang w:val="en-US" w:eastAsia="zh-CN"/>
        </w:rPr>
      </w:pP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lang w:val="en-US" w:eastAsia="zh-CN"/>
        </w:rPr>
        <w:t>二</w:t>
      </w:r>
      <w:r>
        <w:rPr>
          <w:rFonts w:hint="default" w:ascii="Times New Roman" w:hAnsi="Times New Roman" w:eastAsia="楷体_GB2312" w:cs="Times New Roman"/>
          <w:color w:val="auto"/>
          <w:lang w:eastAsia="zh-CN"/>
        </w:rPr>
        <w:t>）</w:t>
      </w:r>
      <w:r>
        <w:rPr>
          <w:rFonts w:hint="default" w:ascii="Times New Roman" w:hAnsi="Times New Roman" w:eastAsia="楷体_GB2312" w:cs="Times New Roman"/>
          <w:color w:val="auto"/>
          <w:lang w:val="en-US" w:eastAsia="zh-CN"/>
        </w:rPr>
        <w:t>评价结论</w:t>
      </w:r>
    </w:p>
    <w:p w14:paraId="69A3A3D9">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lang w:eastAsia="zh-CN"/>
        </w:rPr>
      </w:pPr>
      <w:r>
        <w:rPr>
          <w:rFonts w:hint="default" w:ascii="Times New Roman" w:hAnsi="Times New Roman" w:eastAsia="仿宋_GB2312" w:cs="Times New Roman"/>
          <w:b w:val="0"/>
          <w:bCs w:val="0"/>
          <w:color w:val="auto"/>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color w:val="auto"/>
          <w:highlight w:val="none"/>
        </w:rPr>
        <w:t xml:space="preserve">总得分为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 xml:space="preserve">分，属于“优”。其中，项目决策类指标权重为20分，得分为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w:t>
      </w:r>
      <w:r>
        <w:rPr>
          <w:rFonts w:hint="default" w:ascii="Times New Roman" w:hAnsi="Times New Roman" w:eastAsia="仿宋_GB2312" w:cs="Times New Roman"/>
          <w:b w:val="0"/>
          <w:bCs w:val="0"/>
          <w:color w:val="auto"/>
        </w:rPr>
        <w:t>具体打分情况详见：附件1综合评分表</w:t>
      </w:r>
      <w:r>
        <w:rPr>
          <w:rFonts w:hint="default" w:ascii="Times New Roman" w:hAnsi="Times New Roman" w:eastAsia="仿宋_GB2312" w:cs="Times New Roman"/>
          <w:b w:val="0"/>
          <w:bCs w:val="0"/>
          <w:color w:val="auto"/>
          <w:lang w:eastAsia="zh-CN"/>
        </w:rPr>
        <w:t>。</w:t>
      </w:r>
    </w:p>
    <w:p w14:paraId="449DF6A1">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14:paraId="6463700B">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0DB6B1AF">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2B9E0338">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B8DFB96">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得分</w:t>
            </w:r>
          </w:p>
        </w:tc>
      </w:tr>
      <w:tr w14:paraId="149CD57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E72E324">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10801A41">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11F65AAE">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20</w:t>
            </w:r>
          </w:p>
        </w:tc>
      </w:tr>
      <w:tr w14:paraId="0124921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31B649B">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6FE243E2">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359A80A">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20</w:t>
            </w:r>
          </w:p>
        </w:tc>
      </w:tr>
      <w:tr w14:paraId="64813EE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CD1C93F">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44D520AD">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77ADFBB7">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40</w:t>
            </w:r>
          </w:p>
        </w:tc>
      </w:tr>
      <w:tr w14:paraId="428546D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E3A48AD">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4ACC94A6">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A1BB0E4">
            <w:pPr>
              <w:jc w:val="center"/>
              <w:rPr>
                <w:rFonts w:hint="default" w:ascii="Times New Roman" w:hAnsi="Times New Roman" w:eastAsia="仿宋_GB2312" w:cs="Times New Roman"/>
                <w:color w:val="auto"/>
                <w:sz w:val="21"/>
                <w:szCs w:val="21"/>
                <w:lang w:val="en-US" w:eastAsia="zh-CN"/>
              </w:rPr>
            </w:pPr>
            <w:r>
              <w:rPr>
                <w:rFonts w:hint="eastAsia" w:eastAsia="仿宋_GB2312" w:cs="Times New Roman"/>
                <w:color w:val="auto"/>
                <w:sz w:val="21"/>
                <w:szCs w:val="21"/>
                <w:lang w:val="en-US" w:eastAsia="zh-CN"/>
              </w:rPr>
              <w:t>20</w:t>
            </w:r>
          </w:p>
        </w:tc>
      </w:tr>
      <w:tr w14:paraId="09F1A05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220D697">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466C2FE1">
            <w:pPr>
              <w:jc w:val="center"/>
              <w:rPr>
                <w:rFonts w:hint="default" w:ascii="Times New Roman" w:hAnsi="Times New Roman" w:eastAsia="仿宋_GB2312" w:cs="Times New Roman"/>
                <w:b/>
                <w:bCs/>
                <w:color w:val="auto"/>
                <w:sz w:val="21"/>
                <w:szCs w:val="21"/>
                <w:lang w:val="en-US" w:eastAsia="zh-CN"/>
              </w:rPr>
            </w:pPr>
            <w:r>
              <w:rPr>
                <w:rFonts w:hint="default" w:ascii="Times New Roman" w:hAnsi="Times New Roman" w:eastAsia="仿宋_GB2312" w:cs="Times New Roman"/>
                <w:b/>
                <w:bCs/>
                <w:color w:val="auto"/>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4AFD57A3">
            <w:pPr>
              <w:jc w:val="center"/>
              <w:rPr>
                <w:rFonts w:hint="default" w:ascii="Times New Roman" w:hAnsi="Times New Roman" w:eastAsia="仿宋_GB2312" w:cs="Times New Roman"/>
                <w:b/>
                <w:bCs/>
                <w:color w:val="auto"/>
                <w:sz w:val="21"/>
                <w:szCs w:val="21"/>
                <w:lang w:val="en-US" w:eastAsia="zh-CN"/>
              </w:rPr>
            </w:pPr>
            <w:r>
              <w:rPr>
                <w:rFonts w:hint="eastAsia" w:eastAsia="仿宋_GB2312" w:cs="Times New Roman"/>
                <w:b/>
                <w:bCs/>
                <w:color w:val="auto"/>
                <w:sz w:val="21"/>
                <w:szCs w:val="21"/>
                <w:lang w:val="en-US" w:eastAsia="zh-CN"/>
              </w:rPr>
              <w:t>100</w:t>
            </w:r>
          </w:p>
        </w:tc>
      </w:tr>
    </w:tbl>
    <w:p w14:paraId="5DAD26D4">
      <w:p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四、绩效评价指标分析</w:t>
      </w:r>
    </w:p>
    <w:p w14:paraId="130FAA8A">
      <w:pPr>
        <w:pStyle w:val="2"/>
        <w:spacing w:before="0" w:after="0" w:line="560" w:lineRule="exact"/>
        <w:ind w:firstLine="643" w:firstLineChars="200"/>
        <w:jc w:val="both"/>
        <w:rPr>
          <w:rFonts w:hint="default" w:ascii="Times New Roman" w:hAnsi="Times New Roman" w:eastAsia="楷体_GB2312" w:cs="Times New Roman"/>
          <w:color w:val="auto"/>
        </w:rPr>
      </w:pPr>
      <w:r>
        <w:rPr>
          <w:rFonts w:hint="default" w:ascii="Times New Roman" w:hAnsi="Times New Roman" w:eastAsia="楷体_GB2312" w:cs="Times New Roman"/>
          <w:color w:val="auto"/>
        </w:rPr>
        <w:t>（一）项目决策情况</w:t>
      </w:r>
    </w:p>
    <w:p w14:paraId="27BA61D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24E1DF88">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1.项目立项</w:t>
      </w:r>
    </w:p>
    <w:p w14:paraId="21CC2822">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（1）立项依据充分性</w:t>
      </w:r>
    </w:p>
    <w:p w14:paraId="6FBB9B90">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41ACEBB1">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（2）立项程序规范性</w:t>
      </w:r>
    </w:p>
    <w:p w14:paraId="4C9C0F40">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项目申请、设立过程符合相关要求，</w:t>
      </w:r>
      <w:r>
        <w:rPr>
          <w:rFonts w:hint="default" w:ascii="Times New Roman" w:hAnsi="Times New Roman" w:eastAsia="仿宋_GB2312" w:cs="Times New Roman"/>
          <w:color w:val="auto"/>
          <w:sz w:val="32"/>
          <w:szCs w:val="32"/>
          <w:lang w:eastAsia="zh-Hans"/>
        </w:rPr>
        <w:t>严格按照审批流程准备符合要求的文件、材料；</w:t>
      </w:r>
      <w:r>
        <w:rPr>
          <w:rFonts w:hint="default" w:ascii="Times New Roman" w:hAnsi="Times New Roman" w:eastAsia="仿宋_GB2312" w:cs="Times New Roman"/>
          <w:color w:val="auto"/>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5DF9AA34">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2.绩效目标</w:t>
      </w:r>
    </w:p>
    <w:p w14:paraId="78DC2AFD">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（1）绩效目标合理性</w:t>
      </w:r>
    </w:p>
    <w:p w14:paraId="3F315884">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Hans"/>
        </w:rPr>
        <w:t>年初结合实际工作内容</w:t>
      </w:r>
      <w:r>
        <w:rPr>
          <w:rFonts w:hint="default" w:ascii="Times New Roman" w:hAnsi="Times New Roman" w:eastAsia="仿宋_GB2312" w:cs="Times New Roman"/>
          <w:color w:val="auto"/>
          <w:sz w:val="32"/>
          <w:szCs w:val="32"/>
          <w:lang w:val="en-US" w:eastAsia="zh-CN"/>
        </w:rPr>
        <w:t>设定绩效目标</w:t>
      </w:r>
      <w:r>
        <w:rPr>
          <w:rFonts w:hint="default" w:ascii="Times New Roman" w:hAnsi="Times New Roman" w:eastAsia="仿宋_GB2312" w:cs="Times New Roman"/>
          <w:color w:val="auto"/>
          <w:sz w:val="32"/>
          <w:szCs w:val="32"/>
          <w:lang w:val="en-US" w:eastAsia="zh-Hans"/>
        </w:rPr>
        <w:t>，绩效目标</w:t>
      </w:r>
      <w:r>
        <w:rPr>
          <w:rFonts w:hint="default" w:ascii="Times New Roman" w:hAnsi="Times New Roman" w:eastAsia="仿宋_GB2312" w:cs="Times New Roman"/>
          <w:color w:val="auto"/>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2732883">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（2）绩效指标明确性</w:t>
      </w:r>
    </w:p>
    <w:p w14:paraId="1DEF602D">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72A9B620">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3.资金投入</w:t>
      </w:r>
    </w:p>
    <w:p w14:paraId="657A53B6">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（1）预算编制科学性</w:t>
      </w:r>
    </w:p>
    <w:p w14:paraId="276B99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75A704B3">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7D6B82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2BD893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73C5B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AE897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B2CA0DD">
      <w:pPr>
        <w:pStyle w:val="2"/>
        <w:numPr>
          <w:ilvl w:val="0"/>
          <w:numId w:val="5"/>
        </w:numPr>
        <w:spacing w:before="0" w:after="0" w:line="560" w:lineRule="exact"/>
        <w:ind w:firstLine="643" w:firstLineChars="200"/>
        <w:jc w:val="both"/>
        <w:rPr>
          <w:rFonts w:hint="default" w:ascii="Times New Roman" w:hAnsi="Times New Roman" w:eastAsia="楷体" w:cs="Times New Roman"/>
          <w:color w:val="auto"/>
        </w:rPr>
      </w:pPr>
      <w:r>
        <w:rPr>
          <w:rFonts w:hint="default" w:ascii="Times New Roman" w:hAnsi="Times New Roman" w:eastAsia="楷体" w:cs="Times New Roman"/>
          <w:color w:val="auto"/>
        </w:rPr>
        <w:t>项目过程情况</w:t>
      </w:r>
    </w:p>
    <w:p w14:paraId="0DF813F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lang w:val="en-US" w:eastAsia="zh-CN"/>
        </w:rPr>
        <w:t>项目过程类指标包括资金管理和组织实施两方面的内容，由</w:t>
      </w:r>
      <w:r>
        <w:rPr>
          <w:rFonts w:hint="default" w:ascii="Times New Roman" w:hAnsi="Times New Roman" w:eastAsia="仿宋_GB2312" w:cs="Times New Roman"/>
          <w:color w:val="auto"/>
          <w:sz w:val="32"/>
          <w:szCs w:val="32"/>
          <w:highlight w:val="none"/>
          <w:lang w:val="en-US" w:eastAsia="zh-CN"/>
        </w:rPr>
        <w:t>5个</w:t>
      </w:r>
      <w:r>
        <w:rPr>
          <w:rFonts w:hint="default" w:ascii="Times New Roman" w:hAnsi="Times New Roman" w:eastAsia="仿宋_GB2312" w:cs="Times New Roman"/>
          <w:color w:val="auto"/>
          <w:sz w:val="32"/>
          <w:szCs w:val="32"/>
          <w:lang w:val="en-US" w:eastAsia="zh-CN"/>
        </w:rPr>
        <w:t>三级指标构成，权重分值为20分，</w:t>
      </w:r>
      <w:r>
        <w:rPr>
          <w:rFonts w:hint="default" w:ascii="Times New Roman" w:hAnsi="Times New Roman" w:eastAsia="仿宋_GB2312" w:cs="Times New Roman"/>
          <w:color w:val="auto"/>
          <w:sz w:val="32"/>
          <w:szCs w:val="32"/>
          <w:highlight w:val="none"/>
          <w:lang w:val="en-US" w:eastAsia="zh-CN"/>
        </w:rPr>
        <w:t>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1270C35F">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color w:val="auto"/>
          <w:sz w:val="32"/>
          <w:szCs w:val="32"/>
          <w:lang w:val="en-US" w:eastAsia="zh-CN"/>
        </w:rPr>
        <w:t>1.资金管理</w:t>
      </w:r>
    </w:p>
    <w:p w14:paraId="40F5EB42">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（1）资金到位率</w:t>
      </w:r>
    </w:p>
    <w:p w14:paraId="7F908AAB">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本项目</w:t>
      </w:r>
      <w:r>
        <w:rPr>
          <w:rFonts w:hint="default" w:ascii="Times New Roman" w:hAnsi="Times New Roman" w:eastAsia="仿宋_GB2312" w:cs="Times New Roman"/>
          <w:color w:val="auto"/>
          <w:sz w:val="32"/>
          <w:szCs w:val="32"/>
          <w:highlight w:val="none"/>
          <w:lang w:val="en-US" w:eastAsia="zh-CN"/>
        </w:rPr>
        <w:t>总投资</w:t>
      </w:r>
      <w:r>
        <w:rPr>
          <w:rFonts w:hint="eastAsia" w:eastAsia="仿宋_GB2312" w:cs="Times New Roman"/>
          <w:color w:val="auto"/>
          <w:sz w:val="32"/>
          <w:szCs w:val="32"/>
          <w:highlight w:val="none"/>
          <w:lang w:val="en-US" w:eastAsia="zh-CN"/>
        </w:rPr>
        <w:t>194.4</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6B9B5AF9">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（2）预算执行率</w:t>
      </w:r>
    </w:p>
    <w:p w14:paraId="757566B8">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预算编制较为详细，项目资金支出总体能够按照预算执行，</w:t>
      </w:r>
      <w:r>
        <w:rPr>
          <w:rFonts w:hint="default" w:ascii="Times New Roman" w:hAnsi="Times New Roman" w:eastAsia="仿宋_GB2312" w:cs="Times New Roman"/>
          <w:color w:val="auto"/>
          <w:sz w:val="32"/>
          <w:szCs w:val="32"/>
          <w:highlight w:val="none"/>
          <w:lang w:val="en-US" w:eastAsia="zh-CN"/>
        </w:rPr>
        <w:t>预算资金支出</w:t>
      </w:r>
      <w:r>
        <w:rPr>
          <w:rFonts w:hint="eastAsia" w:eastAsia="仿宋_GB2312" w:cs="Times New Roman"/>
          <w:color w:val="auto"/>
          <w:sz w:val="32"/>
          <w:szCs w:val="32"/>
          <w:highlight w:val="none"/>
          <w:lang w:val="en-US" w:eastAsia="zh-CN"/>
        </w:rPr>
        <w:t>194.4</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18A9BE34">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（3）资金使用合规性</w:t>
      </w:r>
    </w:p>
    <w:p w14:paraId="79E4CB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2C6B40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44D28A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4535CFE9">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7EC1F27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14:paraId="2B229C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3C1231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7950CC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6BB3097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2992FF8F">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（2）制度执行有效性</w:t>
      </w:r>
    </w:p>
    <w:p w14:paraId="3A07DC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lang w:val="en-US" w:eastAsia="zh-CN"/>
        </w:rPr>
        <w:t>单位</w:t>
      </w:r>
      <w:r>
        <w:rPr>
          <w:rFonts w:hint="default" w:ascii="Times New Roman" w:hAnsi="Times New Roman" w:eastAsia="仿宋_GB2312" w:cs="Times New Roman"/>
          <w:color w:val="auto"/>
          <w:sz w:val="32"/>
          <w:szCs w:val="32"/>
          <w:lang w:eastAsia="zh-CN"/>
        </w:rPr>
        <w:t>重视制度执行的重要性，通过明确责任分工、制定详细执行计划、加强监督考核等措施，确保了各项管理制度能够得到有效执行。</w:t>
      </w:r>
    </w:p>
    <w:p w14:paraId="6D805F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13257D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eastAsia="zh-CN"/>
        </w:rPr>
        <w:t>综上所述，本项目的管理制度在执行过程中表现出了高度的有效性，既确保了项目的顺利进行，又实现了项目目标的有效达成。</w:t>
      </w:r>
    </w:p>
    <w:p w14:paraId="19F4E5B1">
      <w:pPr>
        <w:pStyle w:val="15"/>
        <w:numPr>
          <w:ilvl w:val="0"/>
          <w:numId w:val="5"/>
        </w:numPr>
        <w:spacing w:line="560" w:lineRule="exact"/>
        <w:ind w:firstLine="643"/>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项目产出</w:t>
      </w:r>
      <w:r>
        <w:rPr>
          <w:rFonts w:hint="default" w:ascii="Times New Roman" w:hAnsi="Times New Roman" w:eastAsia="楷体_GB2312" w:cs="Times New Roman"/>
          <w:b/>
          <w:bCs/>
          <w:color w:val="auto"/>
          <w:sz w:val="32"/>
          <w:szCs w:val="32"/>
          <w:lang w:val="en-US" w:eastAsia="zh-CN"/>
        </w:rPr>
        <w:t>情况</w:t>
      </w:r>
    </w:p>
    <w:p w14:paraId="7D30C87E">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项目产出类指标包括产出数量、产出质量、</w:t>
      </w:r>
      <w:r>
        <w:rPr>
          <w:rFonts w:hint="eastAsia" w:eastAsia="仿宋_GB2312" w:cs="Times New Roman"/>
          <w:color w:val="auto"/>
          <w:sz w:val="32"/>
          <w:szCs w:val="32"/>
          <w:lang w:val="en-US" w:eastAsia="zh-CN"/>
        </w:rPr>
        <w:t>产出时效三</w:t>
      </w:r>
      <w:r>
        <w:rPr>
          <w:rFonts w:hint="default" w:ascii="Times New Roman" w:hAnsi="Times New Roman" w:eastAsia="仿宋_GB2312" w:cs="Times New Roman"/>
          <w:color w:val="auto"/>
          <w:sz w:val="32"/>
          <w:szCs w:val="32"/>
          <w:lang w:val="en-US" w:eastAsia="zh-CN"/>
        </w:rPr>
        <w:t>方面的内容，</w:t>
      </w:r>
      <w:r>
        <w:rPr>
          <w:rFonts w:hint="default" w:ascii="Times New Roman" w:hAnsi="Times New Roman" w:eastAsia="仿宋_GB2312" w:cs="Times New Roman"/>
          <w:color w:val="auto"/>
          <w:sz w:val="32"/>
          <w:szCs w:val="32"/>
          <w:highlight w:val="none"/>
          <w:lang w:val="en-US" w:eastAsia="zh-CN"/>
        </w:rPr>
        <w:t>由</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lang w:val="en-US" w:eastAsia="zh-CN"/>
        </w:rPr>
        <w:t>具体产出指标完成情况如下：</w:t>
      </w:r>
    </w:p>
    <w:p w14:paraId="4068C5B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7E7F4E25">
      <w:pPr>
        <w:shd w:val="clear"/>
        <w:spacing w:line="600" w:lineRule="exact"/>
        <w:ind w:firstLine="640" w:firstLineChars="200"/>
        <w:outlineLvl w:val="0"/>
        <w:rPr>
          <w:rFonts w:hint="default" w:ascii="Times New Roman" w:hAnsi="Times New Roman" w:cs="Times New Roman"/>
          <w:color w:val="auto"/>
        </w:rPr>
      </w:pPr>
      <w:r>
        <w:rPr>
          <w:rFonts w:hint="default" w:ascii="Times New Roman" w:hAnsi="Times New Roman" w:eastAsia="仿宋_GB2312" w:cs="Times New Roman"/>
          <w:color w:val="auto"/>
          <w:sz w:val="32"/>
          <w:szCs w:val="32"/>
          <w:highlight w:val="none"/>
        </w:rPr>
        <w:t>指标1：</w:t>
      </w:r>
      <w:r>
        <w:rPr>
          <w:rFonts w:hint="eastAsia" w:ascii="仿宋_GB2312" w:hAnsi="仿宋_GB2312" w:eastAsia="仿宋_GB2312" w:cs="仿宋_GB2312"/>
          <w:b w:val="0"/>
          <w:bCs w:val="0"/>
          <w:color w:val="auto"/>
          <w:kern w:val="2"/>
          <w:sz w:val="32"/>
          <w:szCs w:val="32"/>
          <w:highlight w:val="none"/>
          <w:lang w:val="en-US" w:eastAsia="zh-CN" w:bidi="ar-SA"/>
        </w:rPr>
        <w:t>业务用房改造工程面积指标</w:t>
      </w:r>
      <w:r>
        <w:rPr>
          <w:rFonts w:hint="default" w:ascii="Times New Roman" w:hAnsi="Times New Roman" w:eastAsia="仿宋_GB2312" w:cs="Times New Roman"/>
          <w:color w:val="auto"/>
          <w:sz w:val="32"/>
          <w:szCs w:val="32"/>
          <w:highlight w:val="none"/>
        </w:rPr>
        <w:t>，指标值：</w:t>
      </w:r>
      <w:r>
        <w:rPr>
          <w:rFonts w:hint="eastAsia" w:ascii="仿宋_GB2312" w:hAnsi="仿宋_GB2312" w:eastAsia="仿宋_GB2312" w:cs="仿宋_GB2312"/>
          <w:b w:val="0"/>
          <w:bCs w:val="0"/>
          <w:color w:val="auto"/>
          <w:kern w:val="2"/>
          <w:sz w:val="32"/>
          <w:szCs w:val="32"/>
          <w:highlight w:val="none"/>
          <w:lang w:val="en-US" w:eastAsia="zh-CN" w:bidi="ar-SA"/>
        </w:rPr>
        <w:t>≤1662.32平方</w:t>
      </w:r>
      <w:r>
        <w:rPr>
          <w:rFonts w:hint="default" w:ascii="Times New Roman" w:hAnsi="Times New Roman" w:eastAsia="仿宋_GB2312" w:cs="Times New Roman"/>
          <w:color w:val="auto"/>
          <w:sz w:val="32"/>
          <w:szCs w:val="32"/>
          <w:highlight w:val="none"/>
        </w:rPr>
        <w:t>，实际完成值：</w:t>
      </w:r>
      <w:r>
        <w:rPr>
          <w:rFonts w:hint="eastAsia" w:ascii="仿宋_GB2312" w:hAnsi="仿宋_GB2312" w:eastAsia="仿宋_GB2312" w:cs="仿宋_GB2312"/>
          <w:b w:val="0"/>
          <w:bCs w:val="0"/>
          <w:color w:val="auto"/>
          <w:kern w:val="2"/>
          <w:sz w:val="32"/>
          <w:szCs w:val="32"/>
          <w:highlight w:val="none"/>
          <w:lang w:val="en-US" w:eastAsia="zh-CN" w:bidi="ar-SA"/>
        </w:rPr>
        <w:t>1662.32平方</w:t>
      </w:r>
      <w:r>
        <w:rPr>
          <w:rFonts w:hint="default" w:ascii="Times New Roman" w:hAnsi="Times New Roman" w:eastAsia="仿宋_GB2312" w:cs="Times New Roman"/>
          <w:color w:val="auto"/>
          <w:sz w:val="32"/>
          <w:szCs w:val="32"/>
          <w:highlight w:val="none"/>
        </w:rPr>
        <w:t xml:space="preserve">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672FAC35">
      <w:pPr>
        <w:pStyle w:val="2"/>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指标</w:t>
      </w:r>
      <w:r>
        <w:rPr>
          <w:rFonts w:hint="eastAsia" w:ascii="Times New Roman" w:hAnsi="Times New Roman" w:eastAsia="仿宋_GB2312" w:cs="Times New Roman"/>
          <w:b w:val="0"/>
          <w:bCs w:val="0"/>
          <w:color w:val="auto"/>
          <w:kern w:val="2"/>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仿宋_GB2312" w:hAnsi="仿宋_GB2312" w:eastAsia="仿宋_GB2312" w:cs="仿宋_GB2312"/>
          <w:b w:val="0"/>
          <w:bCs w:val="0"/>
          <w:color w:val="auto"/>
          <w:kern w:val="2"/>
          <w:sz w:val="32"/>
          <w:szCs w:val="32"/>
          <w:highlight w:val="none"/>
          <w:lang w:val="en-US" w:eastAsia="zh-CN" w:bidi="ar-SA"/>
        </w:rPr>
        <w:t>供热改造工程面积指标，指标值为≥3200平方米，实际完成3200平方米，完成率100%，偏差率0%。</w:t>
      </w:r>
    </w:p>
    <w:p w14:paraId="6D74A7F4">
      <w:pPr>
        <w:pStyle w:val="2"/>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指标</w:t>
      </w:r>
      <w:r>
        <w:rPr>
          <w:rFonts w:hint="eastAsia" w:ascii="Times New Roman" w:hAnsi="Times New Roman" w:eastAsia="仿宋_GB2312" w:cs="Times New Roman"/>
          <w:b w:val="0"/>
          <w:bCs w:val="0"/>
          <w:color w:val="auto"/>
          <w:kern w:val="2"/>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仿宋_GB2312" w:hAnsi="仿宋_GB2312" w:eastAsia="仿宋_GB2312" w:cs="仿宋_GB2312"/>
          <w:b w:val="0"/>
          <w:bCs w:val="0"/>
          <w:color w:val="auto"/>
          <w:kern w:val="2"/>
          <w:sz w:val="32"/>
          <w:szCs w:val="32"/>
          <w:highlight w:val="none"/>
          <w:lang w:val="en-US" w:eastAsia="zh-CN" w:bidi="ar-SA"/>
        </w:rPr>
        <w:t>供热系统改造指标，指标值为≥20个，实际完成20个，完成率100%，偏差率0%。</w:t>
      </w:r>
    </w:p>
    <w:p w14:paraId="346104EB">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14:paraId="7D1564E6">
      <w:pPr>
        <w:pStyle w:val="2"/>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指标</w:t>
      </w:r>
      <w:r>
        <w:rPr>
          <w:rFonts w:hint="eastAsia" w:ascii="Times New Roman" w:hAnsi="Times New Roman" w:eastAsia="仿宋_GB2312" w:cs="Times New Roman"/>
          <w:b w:val="0"/>
          <w:bCs w:val="0"/>
          <w:color w:val="auto"/>
          <w:kern w:val="2"/>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仿宋_GB2312" w:hAnsi="仿宋_GB2312" w:eastAsia="仿宋_GB2312" w:cs="仿宋_GB2312"/>
          <w:b w:val="0"/>
          <w:bCs w:val="0"/>
          <w:color w:val="auto"/>
          <w:kern w:val="2"/>
          <w:sz w:val="32"/>
          <w:szCs w:val="32"/>
          <w:highlight w:val="none"/>
          <w:lang w:val="en-US" w:eastAsia="zh-CN" w:bidi="ar-SA"/>
        </w:rPr>
        <w:t>业务用房装修改造工程验收合格率指标，指标值为=100%，实际完成100%，完成率100%，偏差率0%。</w:t>
      </w:r>
    </w:p>
    <w:p w14:paraId="0DEF7608">
      <w:pPr>
        <w:pStyle w:val="2"/>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指标</w:t>
      </w:r>
      <w:r>
        <w:rPr>
          <w:rFonts w:hint="eastAsia" w:ascii="Times New Roman" w:hAnsi="Times New Roman" w:eastAsia="仿宋_GB2312" w:cs="Times New Roman"/>
          <w:b w:val="0"/>
          <w:bCs w:val="0"/>
          <w:color w:val="auto"/>
          <w:kern w:val="2"/>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仿宋_GB2312" w:hAnsi="仿宋_GB2312" w:eastAsia="仿宋_GB2312" w:cs="仿宋_GB2312"/>
          <w:b w:val="0"/>
          <w:bCs w:val="0"/>
          <w:color w:val="auto"/>
          <w:kern w:val="2"/>
          <w:sz w:val="32"/>
          <w:szCs w:val="32"/>
          <w:highlight w:val="none"/>
          <w:lang w:val="en-US" w:eastAsia="zh-CN" w:bidi="ar-SA"/>
        </w:rPr>
        <w:t>展厅验收合格率指标，指标值为=100%，实际完成100%，完成率100%，偏差率0%。</w:t>
      </w:r>
    </w:p>
    <w:p w14:paraId="536B0278">
      <w:pPr>
        <w:pStyle w:val="2"/>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指标</w:t>
      </w:r>
      <w:r>
        <w:rPr>
          <w:rFonts w:hint="eastAsia" w:ascii="Times New Roman" w:hAnsi="Times New Roman" w:eastAsia="仿宋_GB2312" w:cs="Times New Roman"/>
          <w:b w:val="0"/>
          <w:bCs w:val="0"/>
          <w:color w:val="auto"/>
          <w:kern w:val="2"/>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仿宋_GB2312" w:hAnsi="仿宋_GB2312" w:eastAsia="仿宋_GB2312" w:cs="仿宋_GB2312"/>
          <w:b w:val="0"/>
          <w:bCs w:val="0"/>
          <w:color w:val="auto"/>
          <w:kern w:val="2"/>
          <w:sz w:val="32"/>
          <w:szCs w:val="32"/>
          <w:highlight w:val="none"/>
          <w:lang w:val="en-US" w:eastAsia="zh-CN" w:bidi="ar-SA"/>
        </w:rPr>
        <w:t>设备质量合格率指标，指标值为=100%，实际完成100%，完成率100%，偏差率0%。</w:t>
      </w:r>
    </w:p>
    <w:p w14:paraId="2A44EC47">
      <w:pPr>
        <w:shd w:val="clear"/>
        <w:spacing w:line="600" w:lineRule="exact"/>
        <w:ind w:firstLine="640" w:firstLineChars="200"/>
        <w:outlineLvl w:val="0"/>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eastAsia" w:eastAsia="仿宋_GB2312" w:cs="Times New Roman"/>
          <w:color w:val="auto"/>
          <w:sz w:val="32"/>
          <w:szCs w:val="32"/>
          <w:highlight w:val="none"/>
          <w:lang w:eastAsia="zh-CN"/>
        </w:rPr>
        <w:t>时效指标</w:t>
      </w:r>
      <w:r>
        <w:rPr>
          <w:rFonts w:hint="default" w:ascii="Times New Roman" w:hAnsi="Times New Roman" w:eastAsia="仿宋_GB2312" w:cs="Times New Roman"/>
          <w:color w:val="auto"/>
          <w:sz w:val="32"/>
          <w:szCs w:val="32"/>
          <w:highlight w:val="none"/>
        </w:rPr>
        <w:t>：</w:t>
      </w:r>
      <w:r>
        <w:rPr>
          <w:rFonts w:hint="eastAsia" w:ascii="仿宋_GB2312" w:hAnsi="仿宋_GB2312" w:eastAsia="仿宋_GB2312" w:cs="仿宋_GB2312"/>
          <w:b w:val="0"/>
          <w:bCs w:val="0"/>
          <w:color w:val="auto"/>
          <w:kern w:val="2"/>
          <w:sz w:val="32"/>
          <w:szCs w:val="32"/>
          <w:highlight w:val="none"/>
          <w:lang w:val="en-US" w:eastAsia="zh-CN" w:bidi="ar-SA"/>
        </w:rPr>
        <w:t>西部区域无线电监测控制中心无线电校准测试场业务用房及转台道路改造项目完工时间，指标值为≤10个月。</w:t>
      </w:r>
      <w:bookmarkStart w:id="3" w:name="_GoBack"/>
      <w:bookmarkEnd w:id="3"/>
    </w:p>
    <w:p w14:paraId="354E6A7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eastAsia="zh-CN"/>
        </w:rPr>
        <w:t>经济</w:t>
      </w:r>
      <w:r>
        <w:rPr>
          <w:rFonts w:hint="default" w:ascii="Times New Roman" w:hAnsi="Times New Roman" w:eastAsia="仿宋_GB2312" w:cs="Times New Roman"/>
          <w:color w:val="auto"/>
          <w:sz w:val="32"/>
          <w:szCs w:val="32"/>
          <w:highlight w:val="none"/>
        </w:rPr>
        <w:t>成本指标：</w:t>
      </w:r>
    </w:p>
    <w:p w14:paraId="77E607E5">
      <w:pPr>
        <w:pStyle w:val="2"/>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指标</w:t>
      </w:r>
      <w:r>
        <w:rPr>
          <w:rFonts w:hint="eastAsia" w:ascii="Times New Roman" w:hAnsi="Times New Roman" w:eastAsia="仿宋_GB2312" w:cs="Times New Roman"/>
          <w:b w:val="0"/>
          <w:bCs w:val="0"/>
          <w:color w:val="auto"/>
          <w:kern w:val="2"/>
          <w:sz w:val="32"/>
          <w:szCs w:val="32"/>
          <w:highlight w:val="none"/>
          <w:lang w:val="en-US" w:eastAsia="zh-CN" w:bidi="ar-SA"/>
        </w:rPr>
        <w:t>1</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仿宋_GB2312" w:hAnsi="仿宋_GB2312" w:eastAsia="仿宋_GB2312" w:cs="仿宋_GB2312"/>
          <w:b w:val="0"/>
          <w:bCs w:val="0"/>
          <w:color w:val="auto"/>
          <w:kern w:val="2"/>
          <w:sz w:val="32"/>
          <w:szCs w:val="32"/>
          <w:highlight w:val="none"/>
          <w:lang w:val="en-US" w:eastAsia="zh-CN" w:bidi="ar-SA"/>
        </w:rPr>
        <w:t>西部区域无线电监测控制中心无线电校准场业务用房及轮台道路维修维护服务成本指标，指标值为≤82.5万元，实际完成80万元，完成率96.97%，偏差率3.03%，偏差原因是根据工程验收后的决算价支付。</w:t>
      </w:r>
    </w:p>
    <w:p w14:paraId="3114FCF5">
      <w:pPr>
        <w:pStyle w:val="2"/>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指标</w:t>
      </w:r>
      <w:r>
        <w:rPr>
          <w:rFonts w:hint="eastAsia" w:ascii="Times New Roman" w:hAnsi="Times New Roman" w:eastAsia="仿宋_GB2312" w:cs="Times New Roman"/>
          <w:b w:val="0"/>
          <w:bCs w:val="0"/>
          <w:color w:val="auto"/>
          <w:kern w:val="2"/>
          <w:sz w:val="32"/>
          <w:szCs w:val="32"/>
          <w:highlight w:val="none"/>
          <w:lang w:val="en-US" w:eastAsia="zh-CN" w:bidi="ar-SA"/>
        </w:rPr>
        <w:t>2</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仿宋_GB2312" w:hAnsi="仿宋_GB2312" w:eastAsia="仿宋_GB2312" w:cs="仿宋_GB2312"/>
          <w:b w:val="0"/>
          <w:bCs w:val="0"/>
          <w:color w:val="auto"/>
          <w:kern w:val="2"/>
          <w:sz w:val="32"/>
          <w:szCs w:val="32"/>
          <w:highlight w:val="none"/>
          <w:lang w:val="en-US" w:eastAsia="zh-CN" w:bidi="ar-SA"/>
        </w:rPr>
        <w:t>西本区域无线电监测控制中心改造项目成本指标，指标值为≤52.8万元，实际完成52.73万元，完成率99.87%，偏差率0.13%，偏差原因是根据工程验收后的决算价支付。</w:t>
      </w:r>
    </w:p>
    <w:p w14:paraId="16CC292D">
      <w:pPr>
        <w:pStyle w:val="2"/>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指标</w:t>
      </w:r>
      <w:r>
        <w:rPr>
          <w:rFonts w:hint="eastAsia" w:ascii="Times New Roman" w:hAnsi="Times New Roman" w:eastAsia="仿宋_GB2312" w:cs="Times New Roman"/>
          <w:b w:val="0"/>
          <w:bCs w:val="0"/>
          <w:color w:val="auto"/>
          <w:kern w:val="2"/>
          <w:sz w:val="32"/>
          <w:szCs w:val="32"/>
          <w:highlight w:val="none"/>
          <w:lang w:val="en-US" w:eastAsia="zh-CN" w:bidi="ar-SA"/>
        </w:rPr>
        <w:t>3</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仿宋_GB2312" w:hAnsi="仿宋_GB2312" w:eastAsia="仿宋_GB2312" w:cs="仿宋_GB2312"/>
          <w:b w:val="0"/>
          <w:bCs w:val="0"/>
          <w:color w:val="auto"/>
          <w:kern w:val="2"/>
          <w:sz w:val="32"/>
          <w:szCs w:val="32"/>
          <w:highlight w:val="none"/>
          <w:lang w:val="en-US" w:eastAsia="zh-CN" w:bidi="ar-SA"/>
        </w:rPr>
        <w:t>无线电安全保障监测实训基地无线电应用与管理展厅增加消防设施维修及展品配套工程项目成本指标，指标值为≤32.7万元，实际完成29.26万元，完成率89.48%，偏差率10.52%，偏差原因是根据工程验收后的决算价支付。</w:t>
      </w:r>
    </w:p>
    <w:p w14:paraId="4C8A9CB6">
      <w:pPr>
        <w:pStyle w:val="2"/>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指标</w:t>
      </w:r>
      <w:r>
        <w:rPr>
          <w:rFonts w:hint="eastAsia" w:ascii="Times New Roman" w:hAnsi="Times New Roman" w:eastAsia="仿宋_GB2312" w:cs="Times New Roman"/>
          <w:b w:val="0"/>
          <w:bCs w:val="0"/>
          <w:color w:val="auto"/>
          <w:kern w:val="2"/>
          <w:sz w:val="32"/>
          <w:szCs w:val="32"/>
          <w:highlight w:val="none"/>
          <w:lang w:val="en-US" w:eastAsia="zh-CN" w:bidi="ar-SA"/>
        </w:rPr>
        <w:t>4</w:t>
      </w:r>
      <w:r>
        <w:rPr>
          <w:rFonts w:hint="default" w:ascii="Times New Roman" w:hAnsi="Times New Roman" w:eastAsia="仿宋_GB2312" w:cs="Times New Roman"/>
          <w:b w:val="0"/>
          <w:bCs w:val="0"/>
          <w:color w:val="auto"/>
          <w:kern w:val="2"/>
          <w:sz w:val="32"/>
          <w:szCs w:val="32"/>
          <w:highlight w:val="none"/>
          <w:lang w:val="en-US" w:eastAsia="zh-CN" w:bidi="ar-SA"/>
        </w:rPr>
        <w:t>：</w:t>
      </w:r>
      <w:r>
        <w:rPr>
          <w:rFonts w:hint="eastAsia" w:ascii="仿宋_GB2312" w:hAnsi="仿宋_GB2312" w:eastAsia="仿宋_GB2312" w:cs="仿宋_GB2312"/>
          <w:b w:val="0"/>
          <w:bCs w:val="0"/>
          <w:color w:val="auto"/>
          <w:kern w:val="2"/>
          <w:sz w:val="32"/>
          <w:szCs w:val="32"/>
          <w:highlight w:val="none"/>
          <w:lang w:val="en-US" w:eastAsia="zh-CN" w:bidi="ar-SA"/>
        </w:rPr>
        <w:t>西控中心基础功能提升和设施改造项目成本指标，指标值为≤26.4万元，实际完成26.33万元，完成率99.76%，偏差率0.24%，偏差原因是根据工程验收后的决算价支付。</w:t>
      </w:r>
    </w:p>
    <w:p w14:paraId="1502902F">
      <w:pPr>
        <w:pStyle w:val="2"/>
        <w:numPr>
          <w:ilvl w:val="0"/>
          <w:numId w:val="0"/>
        </w:numPr>
        <w:ind w:firstLine="640" w:firstLineChars="200"/>
        <w:jc w:val="left"/>
        <w:rPr>
          <w:rFonts w:hint="eastAsia" w:ascii="仿宋_GB2312" w:hAnsi="仿宋_GB2312" w:eastAsia="仿宋_GB2312" w:cs="仿宋_GB2312"/>
          <w:b w:val="0"/>
          <w:bCs w:val="0"/>
          <w:color w:val="auto"/>
          <w:kern w:val="2"/>
          <w:sz w:val="32"/>
          <w:szCs w:val="32"/>
          <w:highlight w:val="none"/>
          <w:lang w:val="en-US" w:eastAsia="zh-CN" w:bidi="ar-SA"/>
        </w:rPr>
      </w:pPr>
    </w:p>
    <w:p w14:paraId="0D5C0D2C">
      <w:pPr>
        <w:pStyle w:val="15"/>
        <w:numPr>
          <w:ilvl w:val="0"/>
          <w:numId w:val="5"/>
        </w:numPr>
        <w:spacing w:line="560" w:lineRule="exact"/>
        <w:ind w:firstLine="643"/>
        <w:rPr>
          <w:rFonts w:hint="default" w:ascii="Times New Roman" w:hAnsi="Times New Roman" w:eastAsia="楷体_GB2312" w:cs="Times New Roman"/>
          <w:b/>
          <w:bCs/>
          <w:color w:val="auto"/>
          <w:sz w:val="32"/>
          <w:szCs w:val="32"/>
          <w:lang w:val="en-US" w:eastAsia="zh-CN"/>
        </w:rPr>
      </w:pPr>
      <w:r>
        <w:rPr>
          <w:rFonts w:hint="default" w:ascii="Times New Roman" w:hAnsi="Times New Roman" w:eastAsia="楷体_GB2312" w:cs="Times New Roman"/>
          <w:b/>
          <w:bCs/>
          <w:color w:val="auto"/>
          <w:sz w:val="32"/>
          <w:szCs w:val="32"/>
          <w:lang w:val="en-US" w:eastAsia="zh-CN"/>
        </w:rPr>
        <w:t>项目效益情况</w:t>
      </w:r>
    </w:p>
    <w:p w14:paraId="0340B8B5">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项目效益类指标包括项目实施效益方面的内容，由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w:t>
      </w:r>
      <w:r>
        <w:rPr>
          <w:rFonts w:hint="default" w:ascii="Times New Roman" w:hAnsi="Times New Roman" w:eastAsia="仿宋_GB2312" w:cs="Times New Roman"/>
          <w:color w:val="auto"/>
          <w:sz w:val="32"/>
          <w:szCs w:val="32"/>
          <w:lang w:val="en-US" w:eastAsia="zh-CN"/>
        </w:rPr>
        <w:t>三级指标构成，权重分为20分，</w:t>
      </w:r>
      <w:r>
        <w:rPr>
          <w:rFonts w:hint="default" w:ascii="Times New Roman" w:hAnsi="Times New Roman" w:eastAsia="仿宋_GB2312" w:cs="Times New Roman"/>
          <w:color w:val="auto"/>
          <w:sz w:val="32"/>
          <w:szCs w:val="32"/>
          <w:highlight w:val="none"/>
          <w:lang w:val="en-US" w:eastAsia="zh-CN"/>
        </w:rPr>
        <w:t>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lang w:val="en-US" w:eastAsia="zh-CN"/>
        </w:rPr>
        <w:t>具体效益指标及满意度指标完成情况如下：</w:t>
      </w:r>
    </w:p>
    <w:p w14:paraId="433BE6E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14:paraId="6F054830">
      <w:pPr>
        <w:shd w:val="clear"/>
        <w:spacing w:line="600" w:lineRule="exact"/>
        <w:ind w:firstLine="640" w:firstLineChars="200"/>
        <w:outlineLvl w:val="0"/>
        <w:rPr>
          <w:rFonts w:hint="eastAsia" w:ascii="仿宋_GB2312" w:hAnsi="仿宋_GB2312" w:eastAsia="仿宋_GB2312" w:cs="仿宋_GB2312"/>
          <w:b w:val="0"/>
          <w:bCs w:val="0"/>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r>
        <w:rPr>
          <w:rFonts w:hint="eastAsia" w:ascii="仿宋_GB2312" w:hAnsi="仿宋_GB2312" w:eastAsia="仿宋_GB2312" w:cs="仿宋_GB2312"/>
          <w:b w:val="0"/>
          <w:bCs w:val="0"/>
          <w:color w:val="auto"/>
          <w:kern w:val="2"/>
          <w:sz w:val="32"/>
          <w:szCs w:val="32"/>
          <w:highlight w:val="none"/>
          <w:lang w:val="en-US" w:eastAsia="zh-CN" w:bidi="ar-SA"/>
        </w:rPr>
        <w:t>单位正常运转率，指标值为≥98%，完成率98%，偏差率0%。</w:t>
      </w:r>
    </w:p>
    <w:p w14:paraId="06992DEC">
      <w:pPr>
        <w:pStyle w:val="5"/>
        <w:rPr>
          <w:color w:val="auto"/>
          <w:highlight w:val="none"/>
        </w:rPr>
      </w:pPr>
      <w:r>
        <w:rPr>
          <w:rFonts w:hint="default" w:ascii="Times New Roman" w:hAnsi="Times New Roman" w:eastAsia="仿宋_GB2312" w:cs="Times New Roman"/>
          <w:b w:val="0"/>
          <w:bCs w:val="0"/>
          <w:color w:val="auto"/>
          <w:kern w:val="2"/>
          <w:sz w:val="32"/>
          <w:szCs w:val="32"/>
          <w:highlight w:val="none"/>
          <w:lang w:val="en-US" w:eastAsia="zh-CN" w:bidi="ar-SA"/>
        </w:rPr>
        <w:t>2.满意度</w:t>
      </w:r>
      <w:r>
        <w:rPr>
          <w:rFonts w:hint="eastAsia" w:ascii="Times New Roman" w:hAnsi="Times New Roman" w:eastAsia="仿宋_GB2312" w:cs="Times New Roman"/>
          <w:b w:val="0"/>
          <w:bCs w:val="0"/>
          <w:color w:val="auto"/>
          <w:kern w:val="2"/>
          <w:sz w:val="32"/>
          <w:szCs w:val="32"/>
          <w:highlight w:val="none"/>
          <w:lang w:val="en-US" w:eastAsia="zh-CN" w:bidi="ar-SA"/>
        </w:rPr>
        <w:t>：</w:t>
      </w:r>
      <w:r>
        <w:rPr>
          <w:rFonts w:hint="eastAsia" w:ascii="仿宋_GB2312" w:hAnsi="仿宋_GB2312" w:eastAsia="仿宋_GB2312" w:cs="仿宋_GB2312"/>
          <w:b w:val="0"/>
          <w:bCs w:val="0"/>
          <w:color w:val="auto"/>
          <w:kern w:val="2"/>
          <w:sz w:val="32"/>
          <w:szCs w:val="32"/>
          <w:highlight w:val="none"/>
          <w:lang w:val="en-US" w:eastAsia="zh-CN" w:bidi="ar-SA"/>
        </w:rPr>
        <w:t>单位职工满意度指标，指标值为≥95%，实际完成95%，完成率100%，偏差率0%。</w:t>
      </w:r>
    </w:p>
    <w:p w14:paraId="4BB52FA2">
      <w:pPr>
        <w:spacing w:line="560" w:lineRule="exact"/>
        <w:ind w:firstLine="640" w:firstLineChars="200"/>
        <w:rPr>
          <w:rFonts w:hint="eastAsia" w:ascii="黑体" w:hAnsi="黑体" w:eastAsia="黑体" w:cs="黑体"/>
          <w:b w:val="0"/>
          <w:bCs w:val="0"/>
          <w:color w:val="auto"/>
          <w:sz w:val="32"/>
          <w:szCs w:val="32"/>
          <w:lang w:val="en-US" w:eastAsia="zh-Hans"/>
        </w:rPr>
      </w:pPr>
      <w:r>
        <w:rPr>
          <w:rFonts w:hint="eastAsia" w:ascii="黑体" w:hAnsi="黑体" w:eastAsia="黑体" w:cs="黑体"/>
          <w:b w:val="0"/>
          <w:bCs w:val="0"/>
          <w:color w:val="auto"/>
          <w:sz w:val="32"/>
          <w:szCs w:val="32"/>
          <w:lang w:val="en-US" w:eastAsia="zh-CN"/>
        </w:rPr>
        <w:t>五、</w:t>
      </w:r>
      <w:r>
        <w:rPr>
          <w:rFonts w:hint="eastAsia" w:ascii="黑体" w:hAnsi="黑体" w:eastAsia="黑体" w:cs="黑体"/>
          <w:b w:val="0"/>
          <w:bCs w:val="0"/>
          <w:color w:val="auto"/>
          <w:sz w:val="32"/>
          <w:szCs w:val="32"/>
          <w:lang w:val="en-US" w:eastAsia="zh-Hans"/>
        </w:rPr>
        <w:t>预算执行进度与绩效指标总体完成率偏差</w:t>
      </w:r>
    </w:p>
    <w:p w14:paraId="428D6D1C">
      <w:pPr>
        <w:pStyle w:val="21"/>
        <w:spacing w:line="560" w:lineRule="exact"/>
        <w:ind w:firstLine="640"/>
        <w:rPr>
          <w:rFonts w:hint="eastAsia" w:ascii="仿宋_GB2312" w:hAnsi="仿宋_GB2312" w:eastAsia="仿宋_GB2312" w:cs="仿宋_GB2312"/>
          <w:b w:val="0"/>
          <w:bCs w:val="0"/>
          <w:color w:val="auto"/>
          <w:sz w:val="32"/>
          <w:szCs w:val="32"/>
          <w:highlight w:val="none"/>
        </w:rPr>
      </w:pPr>
      <w:r>
        <w:rPr>
          <w:rStyle w:val="18"/>
          <w:rFonts w:hint="eastAsia" w:ascii="仿宋_GB2312" w:hAnsi="仿宋_GB2312" w:eastAsia="仿宋_GB2312" w:cs="仿宋_GB2312"/>
          <w:b w:val="0"/>
          <w:bCs w:val="0"/>
          <w:color w:val="auto"/>
          <w:spacing w:val="-4"/>
          <w:sz w:val="32"/>
          <w:szCs w:val="32"/>
          <w:highlight w:val="none"/>
          <w:lang w:val="en-US" w:eastAsia="zh-CN"/>
        </w:rPr>
        <w:t>2024年西部区域无线电监测控制中心改造和功能提升项目</w:t>
      </w:r>
      <w:r>
        <w:rPr>
          <w:rFonts w:hint="eastAsia" w:ascii="仿宋_GB2312" w:hAnsi="仿宋_GB2312" w:eastAsia="仿宋_GB2312" w:cs="仿宋_GB2312"/>
          <w:b w:val="0"/>
          <w:bCs w:val="0"/>
          <w:color w:val="auto"/>
          <w:sz w:val="32"/>
          <w:szCs w:val="32"/>
          <w:highlight w:val="none"/>
        </w:rPr>
        <w:t>年初预算</w:t>
      </w:r>
      <w:r>
        <w:rPr>
          <w:rFonts w:hint="eastAsia" w:ascii="仿宋_GB2312" w:hAnsi="仿宋_GB2312" w:eastAsia="仿宋_GB2312" w:cs="仿宋_GB2312"/>
          <w:b w:val="0"/>
          <w:bCs w:val="0"/>
          <w:color w:val="auto"/>
          <w:sz w:val="32"/>
          <w:szCs w:val="32"/>
          <w:highlight w:val="none"/>
          <w:lang w:val="en-US" w:eastAsia="zh-CN"/>
        </w:rPr>
        <w:t>194.4</w:t>
      </w:r>
      <w:r>
        <w:rPr>
          <w:rFonts w:hint="eastAsia" w:ascii="仿宋_GB2312" w:hAnsi="仿宋_GB2312" w:eastAsia="仿宋_GB2312" w:cs="仿宋_GB2312"/>
          <w:b w:val="0"/>
          <w:bCs w:val="0"/>
          <w:color w:val="auto"/>
          <w:sz w:val="32"/>
          <w:szCs w:val="32"/>
          <w:highlight w:val="none"/>
        </w:rPr>
        <w:t>万元，全年预算</w:t>
      </w:r>
      <w:r>
        <w:rPr>
          <w:rFonts w:hint="eastAsia" w:ascii="仿宋_GB2312" w:hAnsi="仿宋_GB2312" w:eastAsia="仿宋_GB2312" w:cs="仿宋_GB2312"/>
          <w:b w:val="0"/>
          <w:bCs w:val="0"/>
          <w:color w:val="auto"/>
          <w:sz w:val="32"/>
          <w:szCs w:val="32"/>
          <w:highlight w:val="none"/>
          <w:lang w:val="en-US" w:eastAsia="zh-CN"/>
        </w:rPr>
        <w:t>194.4</w:t>
      </w:r>
      <w:r>
        <w:rPr>
          <w:rFonts w:hint="eastAsia" w:ascii="仿宋_GB2312" w:hAnsi="仿宋_GB2312" w:eastAsia="仿宋_GB2312" w:cs="仿宋_GB2312"/>
          <w:b w:val="0"/>
          <w:bCs w:val="0"/>
          <w:color w:val="auto"/>
          <w:sz w:val="32"/>
          <w:szCs w:val="32"/>
          <w:highlight w:val="none"/>
        </w:rPr>
        <w:t>万元，实际支出</w:t>
      </w:r>
      <w:r>
        <w:rPr>
          <w:rFonts w:hint="eastAsia" w:ascii="仿宋_GB2312" w:hAnsi="仿宋_GB2312" w:eastAsia="仿宋_GB2312" w:cs="仿宋_GB2312"/>
          <w:b w:val="0"/>
          <w:bCs w:val="0"/>
          <w:color w:val="auto"/>
          <w:sz w:val="32"/>
          <w:szCs w:val="32"/>
          <w:highlight w:val="none"/>
          <w:lang w:val="en-US" w:eastAsia="zh-CN"/>
        </w:rPr>
        <w:t>188.32</w:t>
      </w:r>
      <w:r>
        <w:rPr>
          <w:rFonts w:hint="eastAsia" w:ascii="仿宋_GB2312" w:hAnsi="仿宋_GB2312" w:eastAsia="仿宋_GB2312" w:cs="仿宋_GB2312"/>
          <w:b w:val="0"/>
          <w:bCs w:val="0"/>
          <w:color w:val="auto"/>
          <w:sz w:val="32"/>
          <w:szCs w:val="32"/>
          <w:highlight w:val="none"/>
        </w:rPr>
        <w:t>万元，预算执行率为</w:t>
      </w:r>
      <w:r>
        <w:rPr>
          <w:rFonts w:hint="eastAsia" w:ascii="仿宋_GB2312" w:hAnsi="仿宋_GB2312" w:eastAsia="仿宋_GB2312" w:cs="仿宋_GB2312"/>
          <w:b w:val="0"/>
          <w:bCs w:val="0"/>
          <w:color w:val="auto"/>
          <w:sz w:val="32"/>
          <w:szCs w:val="32"/>
          <w:highlight w:val="none"/>
          <w:lang w:val="en-US" w:eastAsia="zh-CN"/>
        </w:rPr>
        <w:t>96.87%</w:t>
      </w:r>
      <w:r>
        <w:rPr>
          <w:rFonts w:hint="eastAsia" w:ascii="仿宋_GB2312" w:hAnsi="仿宋_GB2312" w:eastAsia="仿宋_GB2312" w:cs="仿宋_GB2312"/>
          <w:b w:val="0"/>
          <w:bCs w:val="0"/>
          <w:color w:val="auto"/>
          <w:sz w:val="32"/>
          <w:szCs w:val="32"/>
          <w:highlight w:val="none"/>
        </w:rPr>
        <w:t>，项目绩效指标总体完成率为</w:t>
      </w:r>
      <w:r>
        <w:rPr>
          <w:rFonts w:hint="eastAsia" w:ascii="仿宋_GB2312" w:hAnsi="仿宋_GB2312" w:eastAsia="仿宋_GB2312" w:cs="仿宋_GB2312"/>
          <w:b w:val="0"/>
          <w:bCs w:val="0"/>
          <w:color w:val="auto"/>
          <w:sz w:val="32"/>
          <w:szCs w:val="32"/>
          <w:highlight w:val="none"/>
          <w:lang w:val="en-US" w:eastAsia="zh-CN"/>
        </w:rPr>
        <w:t>98.73</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Hans"/>
        </w:rPr>
        <w:t>总体</w:t>
      </w:r>
      <w:r>
        <w:rPr>
          <w:rFonts w:hint="eastAsia" w:ascii="仿宋_GB2312" w:hAnsi="仿宋_GB2312" w:eastAsia="仿宋_GB2312" w:cs="仿宋_GB2312"/>
          <w:b w:val="0"/>
          <w:bCs w:val="0"/>
          <w:color w:val="auto"/>
          <w:sz w:val="32"/>
          <w:szCs w:val="32"/>
          <w:highlight w:val="none"/>
        </w:rPr>
        <w:t>偏差率为</w:t>
      </w:r>
      <w:r>
        <w:rPr>
          <w:rFonts w:hint="eastAsia" w:ascii="仿宋_GB2312" w:hAnsi="仿宋_GB2312" w:eastAsia="仿宋_GB2312" w:cs="仿宋_GB2312"/>
          <w:b w:val="0"/>
          <w:bCs w:val="0"/>
          <w:color w:val="auto"/>
          <w:sz w:val="32"/>
          <w:szCs w:val="32"/>
          <w:highlight w:val="none"/>
          <w:lang w:val="en-US" w:eastAsia="zh-CN"/>
        </w:rPr>
        <w:t>1.86</w:t>
      </w:r>
      <w:r>
        <w:rPr>
          <w:rFonts w:hint="eastAsia" w:ascii="仿宋_GB2312" w:hAnsi="仿宋_GB2312" w:eastAsia="仿宋_GB2312" w:cs="仿宋_GB2312"/>
          <w:b w:val="0"/>
          <w:bCs w:val="0"/>
          <w:color w:val="auto"/>
          <w:sz w:val="32"/>
          <w:szCs w:val="32"/>
          <w:highlight w:val="none"/>
        </w:rPr>
        <w:t>%。</w:t>
      </w:r>
    </w:p>
    <w:p w14:paraId="0CF08D81">
      <w:pPr>
        <w:spacing w:line="560" w:lineRule="exact"/>
        <w:ind w:firstLine="640" w:firstLineChars="200"/>
        <w:rPr>
          <w:rStyle w:val="20"/>
          <w:rFonts w:hint="default" w:ascii="Times New Roman" w:hAnsi="Times New Roman" w:cs="Times New Roman"/>
          <w:color w:val="auto"/>
        </w:rPr>
      </w:pPr>
      <w:r>
        <w:rPr>
          <w:rFonts w:hint="eastAsia" w:eastAsia="黑体" w:cs="Times New Roman"/>
          <w:color w:val="auto"/>
          <w:sz w:val="32"/>
          <w:szCs w:val="32"/>
          <w:lang w:val="en-US" w:eastAsia="zh-CN"/>
        </w:rPr>
        <w:t>六</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黑体" w:cs="Times New Roman"/>
          <w:color w:val="auto"/>
          <w:sz w:val="32"/>
          <w:szCs w:val="32"/>
        </w:rPr>
        <w:t>主要经验及做法、存在的问题及原因分析</w:t>
      </w:r>
    </w:p>
    <w:p w14:paraId="73378999">
      <w:pPr>
        <w:spacing w:line="560" w:lineRule="exact"/>
        <w:ind w:firstLine="627" w:firstLineChars="200"/>
        <w:rPr>
          <w:rFonts w:hint="default" w:ascii="Times New Roman" w:hAnsi="Times New Roman" w:eastAsia="楷体" w:cs="Times New Roman"/>
          <w:b/>
          <w:color w:val="auto"/>
          <w:spacing w:val="-4"/>
          <w:sz w:val="32"/>
          <w:szCs w:val="32"/>
        </w:rPr>
      </w:pPr>
      <w:r>
        <w:rPr>
          <w:rFonts w:hint="default" w:ascii="Times New Roman" w:hAnsi="Times New Roman" w:eastAsia="楷体" w:cs="Times New Roman"/>
          <w:b/>
          <w:color w:val="auto"/>
          <w:spacing w:val="-4"/>
          <w:sz w:val="32"/>
          <w:szCs w:val="32"/>
        </w:rPr>
        <w:t>（一）主要经验及做法</w:t>
      </w:r>
    </w:p>
    <w:p w14:paraId="6BC7D655">
      <w:pPr>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E46D5B5">
      <w:pPr>
        <w:pStyle w:val="2"/>
        <w:spacing w:before="0" w:after="0" w:line="560" w:lineRule="exact"/>
        <w:ind w:firstLine="640" w:firstLineChars="200"/>
        <w:jc w:val="left"/>
        <w:rPr>
          <w:rFonts w:hint="default" w:ascii="Times New Roman" w:hAnsi="Times New Roman" w:eastAsia="仿宋_GB2312" w:cs="Times New Roman"/>
          <w:b w:val="0"/>
          <w:bCs w:val="0"/>
          <w:color w:val="auto"/>
          <w:kern w:val="2"/>
        </w:rPr>
      </w:pPr>
      <w:r>
        <w:rPr>
          <w:rFonts w:hint="default" w:ascii="Times New Roman" w:hAnsi="Times New Roman" w:eastAsia="仿宋_GB2312" w:cs="Times New Roman"/>
          <w:b w:val="0"/>
          <w:bCs w:val="0"/>
          <w:color w:val="auto"/>
          <w:kern w:val="2"/>
        </w:rPr>
        <w:t>严格坚持先做事、后验收、再拨付的原则，</w:t>
      </w:r>
      <w:r>
        <w:rPr>
          <w:rFonts w:hint="eastAsia" w:ascii="Times New Roman" w:hAnsi="Times New Roman" w:eastAsia="仿宋_GB2312" w:cs="Times New Roman"/>
          <w:b w:val="0"/>
          <w:bCs w:val="0"/>
          <w:color w:val="auto"/>
          <w:kern w:val="2"/>
          <w:lang w:eastAsia="zh-CN"/>
        </w:rPr>
        <w:t>杜绝</w:t>
      </w:r>
      <w:r>
        <w:rPr>
          <w:rFonts w:hint="default" w:ascii="Times New Roman" w:hAnsi="Times New Roman" w:eastAsia="仿宋_GB2312" w:cs="Times New Roman"/>
          <w:b w:val="0"/>
          <w:bCs w:val="0"/>
          <w:color w:val="auto"/>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579F695">
      <w:pPr>
        <w:keepNext/>
        <w:keepLines/>
        <w:numPr>
          <w:ilvl w:val="0"/>
          <w:numId w:val="6"/>
        </w:num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存在的问题及原因分析</w:t>
      </w:r>
    </w:p>
    <w:p w14:paraId="0353358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B852DB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2.因轮岗、调动</w:t>
      </w:r>
      <w:r>
        <w:rPr>
          <w:rFonts w:hint="eastAsia"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因素使我单位绩效工作人员流动频繁，</w:t>
      </w:r>
      <w:r>
        <w:rPr>
          <w:rFonts w:hint="eastAsia" w:ascii="Times New Roman" w:hAnsi="Times New Roman" w:eastAsia="仿宋_GB2312" w:cs="Times New Roman"/>
          <w:color w:val="auto"/>
          <w:sz w:val="32"/>
          <w:szCs w:val="32"/>
          <w:highlight w:val="none"/>
          <w:lang w:val="en-US" w:eastAsia="zh-CN"/>
        </w:rPr>
        <w:t>造成</w:t>
      </w:r>
      <w:r>
        <w:rPr>
          <w:rFonts w:hint="default" w:ascii="Times New Roman" w:hAnsi="Times New Roman" w:eastAsia="仿宋_GB2312" w:cs="Times New Roman"/>
          <w:color w:val="auto"/>
          <w:sz w:val="32"/>
          <w:szCs w:val="32"/>
          <w:highlight w:val="none"/>
          <w:lang w:val="en-US" w:eastAsia="zh-CN"/>
        </w:rPr>
        <w:t>工作衔接不到位的情况。</w:t>
      </w:r>
    </w:p>
    <w:p w14:paraId="3B4C27BC">
      <w:pPr>
        <w:spacing w:line="560" w:lineRule="exact"/>
        <w:ind w:firstLine="640" w:firstLineChars="200"/>
        <w:rPr>
          <w:rFonts w:hint="default" w:ascii="Times New Roman" w:hAnsi="Times New Roman" w:eastAsia="黑体" w:cs="Times New Roman"/>
          <w:color w:val="auto"/>
          <w:sz w:val="32"/>
          <w:szCs w:val="32"/>
        </w:rPr>
      </w:pPr>
      <w:r>
        <w:rPr>
          <w:rFonts w:hint="eastAsia" w:eastAsia="黑体" w:cs="Times New Roman"/>
          <w:color w:val="auto"/>
          <w:sz w:val="32"/>
          <w:szCs w:val="32"/>
          <w:lang w:val="en-US" w:eastAsia="zh-CN"/>
        </w:rPr>
        <w:t>七</w:t>
      </w:r>
      <w:r>
        <w:rPr>
          <w:rFonts w:hint="default" w:ascii="Times New Roman" w:hAnsi="Times New Roman" w:eastAsia="黑体" w:cs="Times New Roman"/>
          <w:color w:val="auto"/>
          <w:sz w:val="32"/>
          <w:szCs w:val="32"/>
          <w:lang w:val="en-US" w:eastAsia="zh-CN"/>
        </w:rPr>
        <w:t>.</w:t>
      </w:r>
      <w:r>
        <w:rPr>
          <w:rFonts w:hint="default" w:ascii="Times New Roman" w:hAnsi="Times New Roman" w:eastAsia="黑体" w:cs="Times New Roman"/>
          <w:color w:val="auto"/>
          <w:sz w:val="32"/>
          <w:szCs w:val="32"/>
        </w:rPr>
        <w:t>有关建议</w:t>
      </w:r>
    </w:p>
    <w:p w14:paraId="35DB46C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14:paraId="1CDCB048">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14:paraId="70AA5B70">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28C151CA">
      <w:pPr>
        <w:shd w:val="clear"/>
        <w:spacing w:line="600" w:lineRule="exact"/>
        <w:ind w:firstLine="640" w:firstLineChars="200"/>
        <w:outlineLvl w:val="0"/>
        <w:rPr>
          <w:rFonts w:hint="default" w:ascii="Times New Roman" w:hAnsi="Times New Roman" w:cs="Times New Roman"/>
          <w:color w:val="auto"/>
          <w:sz w:val="22"/>
          <w:szCs w:val="28"/>
        </w:rPr>
      </w:pPr>
      <w:r>
        <w:rPr>
          <w:rFonts w:hint="default" w:ascii="Times New Roman" w:hAnsi="Times New Roman" w:eastAsia="仿宋_GB2312" w:cs="Times New Roman"/>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rPr>
        <w:t>。</w:t>
      </w:r>
    </w:p>
    <w:p w14:paraId="7A4DD2D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5153EB4A">
      <w:pPr>
        <w:spacing w:line="560" w:lineRule="exact"/>
        <w:ind w:firstLine="640" w:firstLineChars="200"/>
        <w:rPr>
          <w:rFonts w:hint="default" w:ascii="Times New Roman" w:hAnsi="Times New Roman" w:eastAsia="黑体" w:cs="Times New Roman"/>
          <w:color w:val="auto"/>
          <w:sz w:val="32"/>
          <w:szCs w:val="32"/>
        </w:rPr>
      </w:pPr>
      <w:r>
        <w:rPr>
          <w:rFonts w:hint="eastAsia" w:eastAsia="黑体" w:cs="Times New Roman"/>
          <w:color w:val="auto"/>
          <w:sz w:val="32"/>
          <w:szCs w:val="32"/>
          <w:lang w:val="en-US" w:eastAsia="zh-CN"/>
        </w:rPr>
        <w:t>八</w:t>
      </w:r>
      <w:r>
        <w:rPr>
          <w:rFonts w:hint="default" w:ascii="Times New Roman" w:hAnsi="Times New Roman" w:eastAsia="仿宋_GB2312" w:cs="Times New Roman"/>
          <w:b/>
          <w:bCs/>
          <w:color w:val="auto"/>
          <w:sz w:val="32"/>
          <w:szCs w:val="32"/>
          <w:lang w:val="en-US" w:eastAsia="zh-CN"/>
        </w:rPr>
        <w:t>.</w:t>
      </w:r>
      <w:r>
        <w:rPr>
          <w:rFonts w:hint="default" w:ascii="Times New Roman" w:hAnsi="Times New Roman" w:eastAsia="黑体" w:cs="Times New Roman"/>
          <w:color w:val="auto"/>
          <w:sz w:val="32"/>
          <w:szCs w:val="32"/>
        </w:rPr>
        <w:t>其他需要说</w:t>
      </w:r>
      <w:bookmarkStart w:id="0" w:name="page8"/>
      <w:bookmarkEnd w:id="0"/>
      <w:r>
        <w:rPr>
          <w:rFonts w:hint="default" w:ascii="Times New Roman" w:hAnsi="Times New Roman" w:eastAsia="黑体" w:cs="Times New Roman"/>
          <w:color w:val="auto"/>
          <w:sz w:val="32"/>
          <w:szCs w:val="32"/>
        </w:rPr>
        <w:t>明的问题</w:t>
      </w:r>
    </w:p>
    <w:p w14:paraId="3F0A9B9C">
      <w:pPr>
        <w:pStyle w:val="7"/>
        <w:spacing w:after="0" w:line="560" w:lineRule="exact"/>
        <w:ind w:left="0" w:leftChars="0" w:firstLine="640"/>
        <w:rPr>
          <w:rFonts w:hint="default" w:ascii="Times New Roman" w:hAnsi="Times New Roman" w:eastAsia="仿宋_GB2312" w:cs="Times New Roman"/>
          <w:color w:val="auto"/>
          <w:sz w:val="32"/>
          <w:szCs w:val="32"/>
          <w:lang w:eastAsia="zh-Hans"/>
        </w:rPr>
      </w:pPr>
      <w:r>
        <w:rPr>
          <w:rFonts w:hint="default" w:ascii="Times New Roman" w:hAnsi="Times New Roman" w:eastAsia="仿宋_GB2312" w:cs="Times New Roman"/>
          <w:color w:val="auto"/>
          <w:sz w:val="32"/>
          <w:szCs w:val="32"/>
          <w:lang w:eastAsia="zh-Hans"/>
        </w:rPr>
        <w:t>本项目无其他需说明的问题。</w:t>
      </w:r>
    </w:p>
    <w:p w14:paraId="47671A09">
      <w:pPr>
        <w:pStyle w:val="7"/>
        <w:spacing w:after="0" w:line="560" w:lineRule="exact"/>
        <w:ind w:left="0" w:leftChars="0" w:firstLine="640"/>
        <w:rPr>
          <w:rFonts w:hint="eastAsia" w:ascii="Times New Roman" w:hAnsi="Times New Roman" w:eastAsia="仿宋_GB2312" w:cs="Times New Roman"/>
          <w:color w:val="auto"/>
          <w:sz w:val="32"/>
          <w:szCs w:val="32"/>
          <w:lang w:eastAsia="zh-CN"/>
        </w:rPr>
      </w:pPr>
    </w:p>
    <w:p w14:paraId="77581255">
      <w:pPr>
        <w:pStyle w:val="7"/>
        <w:spacing w:after="0" w:line="560" w:lineRule="exact"/>
        <w:ind w:left="0" w:leftChars="0" w:firstLine="640"/>
        <w:rPr>
          <w:rFonts w:hint="eastAsia" w:ascii="Times New Roman" w:hAnsi="Times New Roman" w:eastAsia="仿宋_GB2312" w:cs="Times New Roman"/>
          <w:color w:val="auto"/>
          <w:sz w:val="32"/>
          <w:szCs w:val="32"/>
          <w:lang w:eastAsia="zh-CN"/>
        </w:rPr>
      </w:pPr>
    </w:p>
    <w:p w14:paraId="34B56D69">
      <w:pPr>
        <w:pStyle w:val="7"/>
        <w:spacing w:after="0" w:line="560" w:lineRule="exact"/>
        <w:ind w:left="0" w:leftChars="0" w:firstLine="640"/>
        <w:rPr>
          <w:rFonts w:hint="eastAsia" w:ascii="Times New Roman" w:hAnsi="Times New Roman" w:eastAsia="仿宋_GB2312" w:cs="Times New Roman"/>
          <w:color w:val="auto"/>
          <w:sz w:val="32"/>
          <w:szCs w:val="32"/>
          <w:lang w:eastAsia="zh-CN"/>
        </w:rPr>
      </w:pPr>
    </w:p>
    <w:p w14:paraId="715E8BA4">
      <w:pPr>
        <w:pStyle w:val="7"/>
        <w:spacing w:after="0" w:line="560" w:lineRule="exact"/>
        <w:ind w:left="0" w:leftChars="0" w:firstLine="0" w:firstLineChars="0"/>
        <w:rPr>
          <w:rFonts w:hint="default" w:ascii="Times New Roman" w:hAnsi="Times New Roman" w:eastAsia="仿宋_GB2312" w:cs="Times New Roman"/>
          <w:b/>
          <w:bCs/>
          <w:color w:val="auto"/>
          <w:sz w:val="32"/>
          <w:szCs w:val="32"/>
          <w:lang w:eastAsia="zh-CN"/>
        </w:rPr>
      </w:pPr>
    </w:p>
    <w:p w14:paraId="1F251995">
      <w:pPr>
        <w:spacing w:line="600" w:lineRule="exact"/>
        <w:rPr>
          <w:rFonts w:hint="eastAsia" w:ascii="Times New Roman" w:hAnsi="Times New Roman" w:eastAsia="黑体" w:cs="Times New Roman"/>
          <w:color w:val="auto"/>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5A9A8AA4">
      <w:pPr>
        <w:spacing w:line="600" w:lineRule="exact"/>
        <w:rPr>
          <w:rFonts w:hint="eastAsia" w:eastAsia="黑体" w:cs="Times New Roman"/>
          <w:color w:val="auto"/>
          <w:sz w:val="32"/>
          <w:szCs w:val="32"/>
          <w:lang w:val="en-US" w:eastAsia="zh-CN"/>
        </w:rPr>
      </w:pPr>
      <w:r>
        <w:rPr>
          <w:rFonts w:hint="eastAsia" w:ascii="Times New Roman" w:hAnsi="Times New Roman" w:eastAsia="黑体" w:cs="Times New Roman"/>
          <w:color w:val="auto"/>
          <w:sz w:val="32"/>
          <w:szCs w:val="32"/>
          <w:lang w:val="en-US" w:eastAsia="zh-CN"/>
        </w:rPr>
        <w:t>附件</w:t>
      </w:r>
      <w:r>
        <w:rPr>
          <w:rFonts w:hint="eastAsia" w:eastAsia="黑体" w:cs="Times New Roman"/>
          <w:color w:val="auto"/>
          <w:sz w:val="32"/>
          <w:szCs w:val="32"/>
          <w:lang w:val="en-US" w:eastAsia="zh-CN"/>
        </w:rPr>
        <w:t>1</w:t>
      </w:r>
    </w:p>
    <w:p w14:paraId="78AE9A19">
      <w:pPr>
        <w:pStyle w:val="21"/>
        <w:ind w:firstLine="562"/>
        <w:jc w:val="center"/>
        <w:rPr>
          <w:rFonts w:hint="eastAsia" w:ascii="仿宋_GB2312" w:hAnsi="仿宋_GB2312" w:eastAsia="仿宋_GB2312" w:cs="仿宋_GB2312"/>
          <w:color w:val="auto"/>
          <w:sz w:val="28"/>
          <w:szCs w:val="40"/>
        </w:rPr>
      </w:pPr>
      <w:bookmarkStart w:id="1" w:name="_Toc30064_WPSOffice_Level1"/>
      <w:bookmarkStart w:id="2" w:name="_Toc26499_WPSOffice_Level2"/>
      <w:r>
        <w:rPr>
          <w:rFonts w:hint="eastAsia" w:ascii="仿宋_GB2312" w:hAnsi="仿宋_GB2312" w:eastAsia="仿宋_GB2312" w:cs="仿宋_GB2312"/>
          <w:b/>
          <w:bCs/>
          <w:color w:val="auto"/>
          <w:sz w:val="28"/>
          <w:szCs w:val="40"/>
          <w:lang w:val="en-US" w:eastAsia="zh-CN"/>
        </w:rPr>
        <w:t>2024年西部区域无线电监测控制中心改造和功能提升</w:t>
      </w:r>
      <w:r>
        <w:rPr>
          <w:rFonts w:hint="eastAsia" w:ascii="仿宋_GB2312" w:hAnsi="仿宋_GB2312" w:eastAsia="仿宋_GB2312" w:cs="仿宋_GB2312"/>
          <w:b/>
          <w:bCs/>
          <w:color w:val="auto"/>
          <w:sz w:val="28"/>
          <w:szCs w:val="40"/>
        </w:rPr>
        <w:t>项目绩效评价指标体系及综合评分表</w:t>
      </w:r>
      <w:bookmarkEnd w:id="1"/>
      <w:bookmarkEnd w:id="2"/>
    </w:p>
    <w:tbl>
      <w:tblPr>
        <w:tblStyle w:val="16"/>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14:paraId="20394D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41BB6DB0">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一级指标</w:t>
            </w:r>
          </w:p>
        </w:tc>
        <w:tc>
          <w:tcPr>
            <w:tcW w:w="394" w:type="pct"/>
            <w:shd w:val="clear" w:color="auto" w:fill="FFFFFF"/>
            <w:vAlign w:val="center"/>
          </w:tcPr>
          <w:p w14:paraId="6DC3EF8D">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二级指标</w:t>
            </w:r>
          </w:p>
        </w:tc>
        <w:tc>
          <w:tcPr>
            <w:tcW w:w="422" w:type="pct"/>
            <w:shd w:val="clear" w:color="auto" w:fill="FFFFFF"/>
            <w:vAlign w:val="center"/>
          </w:tcPr>
          <w:p w14:paraId="2A2C71EF">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三级指标</w:t>
            </w:r>
          </w:p>
        </w:tc>
        <w:tc>
          <w:tcPr>
            <w:tcW w:w="680" w:type="pct"/>
            <w:shd w:val="clear" w:color="auto" w:fill="FFFFFF"/>
            <w:vAlign w:val="center"/>
          </w:tcPr>
          <w:p w14:paraId="6EEE4C13">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指标解释</w:t>
            </w:r>
          </w:p>
        </w:tc>
        <w:tc>
          <w:tcPr>
            <w:tcW w:w="2055" w:type="pct"/>
            <w:shd w:val="clear" w:color="auto" w:fill="FFFFFF"/>
            <w:vAlign w:val="center"/>
          </w:tcPr>
          <w:p w14:paraId="6F4A3846">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指标说明</w:t>
            </w:r>
          </w:p>
        </w:tc>
        <w:tc>
          <w:tcPr>
            <w:tcW w:w="512" w:type="pct"/>
            <w:shd w:val="clear" w:color="auto" w:fill="FFFFFF"/>
            <w:vAlign w:val="center"/>
          </w:tcPr>
          <w:p w14:paraId="31B5133E">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权重</w:t>
            </w:r>
          </w:p>
        </w:tc>
        <w:tc>
          <w:tcPr>
            <w:tcW w:w="538" w:type="pct"/>
            <w:shd w:val="clear" w:color="auto" w:fill="FFFFFF"/>
            <w:vAlign w:val="center"/>
          </w:tcPr>
          <w:p w14:paraId="7DE062E5">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得分</w:t>
            </w:r>
          </w:p>
        </w:tc>
      </w:tr>
      <w:tr w14:paraId="09AE11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7D84AD81">
            <w:pPr>
              <w:widowControl/>
              <w:spacing w:line="0" w:lineRule="atLeast"/>
              <w:jc w:val="center"/>
              <w:rPr>
                <w:rFonts w:hint="default" w:ascii="Times New Roman" w:hAnsi="Times New Roman" w:eastAsia="仿宋_GB2312" w:cs="Times New Roman"/>
                <w:color w:val="auto"/>
                <w:kern w:val="0"/>
                <w:sz w:val="18"/>
                <w:szCs w:val="18"/>
              </w:rPr>
            </w:pPr>
          </w:p>
          <w:p w14:paraId="73C46C99">
            <w:pPr>
              <w:widowControl/>
              <w:spacing w:line="0" w:lineRule="atLeast"/>
              <w:jc w:val="center"/>
              <w:rPr>
                <w:rFonts w:hint="default" w:ascii="Times New Roman" w:hAnsi="Times New Roman" w:eastAsia="仿宋_GB2312" w:cs="Times New Roman"/>
                <w:color w:val="auto"/>
                <w:kern w:val="0"/>
                <w:sz w:val="18"/>
                <w:szCs w:val="18"/>
              </w:rPr>
            </w:pPr>
          </w:p>
          <w:p w14:paraId="64CAD44C">
            <w:pPr>
              <w:widowControl/>
              <w:spacing w:line="0" w:lineRule="atLeast"/>
              <w:jc w:val="center"/>
              <w:rPr>
                <w:rFonts w:hint="default" w:ascii="Times New Roman" w:hAnsi="Times New Roman" w:eastAsia="仿宋_GB2312" w:cs="Times New Roman"/>
                <w:color w:val="auto"/>
                <w:kern w:val="0"/>
                <w:sz w:val="18"/>
                <w:szCs w:val="18"/>
              </w:rPr>
            </w:pPr>
          </w:p>
          <w:p w14:paraId="33BBD454">
            <w:pPr>
              <w:widowControl/>
              <w:spacing w:line="0" w:lineRule="atLeast"/>
              <w:jc w:val="center"/>
              <w:rPr>
                <w:rFonts w:hint="default" w:ascii="Times New Roman" w:hAnsi="Times New Roman" w:eastAsia="仿宋_GB2312" w:cs="Times New Roman"/>
                <w:color w:val="auto"/>
                <w:kern w:val="0"/>
                <w:sz w:val="18"/>
                <w:szCs w:val="18"/>
              </w:rPr>
            </w:pPr>
          </w:p>
          <w:p w14:paraId="5834BCC3">
            <w:pPr>
              <w:widowControl/>
              <w:spacing w:line="0" w:lineRule="atLeast"/>
              <w:jc w:val="center"/>
              <w:rPr>
                <w:rFonts w:hint="default" w:ascii="Times New Roman" w:hAnsi="Times New Roman" w:eastAsia="仿宋_GB2312" w:cs="Times New Roman"/>
                <w:color w:val="auto"/>
                <w:kern w:val="0"/>
                <w:sz w:val="18"/>
                <w:szCs w:val="18"/>
              </w:rPr>
            </w:pPr>
          </w:p>
          <w:p w14:paraId="035FC664">
            <w:pPr>
              <w:widowControl/>
              <w:spacing w:line="0" w:lineRule="atLeast"/>
              <w:jc w:val="center"/>
              <w:rPr>
                <w:rFonts w:hint="default" w:ascii="Times New Roman" w:hAnsi="Times New Roman" w:eastAsia="仿宋_GB2312" w:cs="Times New Roman"/>
                <w:color w:val="auto"/>
                <w:kern w:val="0"/>
                <w:sz w:val="18"/>
                <w:szCs w:val="18"/>
              </w:rPr>
            </w:pPr>
          </w:p>
          <w:p w14:paraId="51095D16">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决策　</w:t>
            </w:r>
          </w:p>
        </w:tc>
        <w:tc>
          <w:tcPr>
            <w:tcW w:w="394" w:type="pct"/>
            <w:vMerge w:val="restart"/>
            <w:shd w:val="clear" w:color="auto" w:fill="FFFFFF"/>
            <w:vAlign w:val="center"/>
          </w:tcPr>
          <w:p w14:paraId="2D8D0452">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项目立项　</w:t>
            </w:r>
          </w:p>
        </w:tc>
        <w:tc>
          <w:tcPr>
            <w:tcW w:w="422" w:type="pct"/>
            <w:shd w:val="clear" w:color="auto" w:fill="FFFFFF"/>
            <w:vAlign w:val="center"/>
          </w:tcPr>
          <w:p w14:paraId="53162625">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立项依据</w:t>
            </w:r>
          </w:p>
          <w:p w14:paraId="40CC46B1">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充分性</w:t>
            </w:r>
          </w:p>
        </w:tc>
        <w:tc>
          <w:tcPr>
            <w:tcW w:w="680" w:type="pct"/>
            <w:shd w:val="clear" w:color="auto" w:fill="FFFFFF"/>
            <w:vAlign w:val="center"/>
          </w:tcPr>
          <w:p w14:paraId="2AC3D310">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项目立项是否符合法律法规、相关政策、发展规划以及部门职责，用以反映和考核项目立项依据情况。</w:t>
            </w:r>
          </w:p>
        </w:tc>
        <w:tc>
          <w:tcPr>
            <w:tcW w:w="2055" w:type="pct"/>
            <w:shd w:val="clear" w:color="auto" w:fill="FFFFFF"/>
            <w:vAlign w:val="center"/>
          </w:tcPr>
          <w:p w14:paraId="0C719BE9">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①项目立项是否符合国家法律法规、国民经济发展规划和相关政策；</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②项目立项是否符合行业发展规划和政策要求；</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③项目立项是否与部门职责范围相符，属于部门履职所需；</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⑤项目是否与相关部门同类项目或部门内部相关项目重复。</w:t>
            </w:r>
          </w:p>
        </w:tc>
        <w:tc>
          <w:tcPr>
            <w:tcW w:w="512" w:type="pct"/>
            <w:shd w:val="clear" w:color="auto" w:fill="FFFFFF"/>
            <w:vAlign w:val="center"/>
          </w:tcPr>
          <w:p w14:paraId="22F68A2E">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538" w:type="pct"/>
            <w:shd w:val="clear" w:color="auto" w:fill="FFFFFF"/>
            <w:vAlign w:val="center"/>
          </w:tcPr>
          <w:p w14:paraId="36FDA492">
            <w:pPr>
              <w:widowControl/>
              <w:spacing w:line="0" w:lineRule="atLeast"/>
              <w:jc w:val="center"/>
              <w:rPr>
                <w:rFonts w:hint="eastAsia" w:ascii="Times New Roman" w:hAnsi="Times New Roman" w:eastAsia="仿宋_GB2312" w:cs="Times New Roman"/>
                <w:b/>
                <w:bCs/>
                <w:color w:val="auto"/>
                <w:kern w:val="0"/>
                <w:sz w:val="18"/>
                <w:szCs w:val="18"/>
                <w:lang w:eastAsia="zh-CN"/>
              </w:rPr>
            </w:pPr>
            <w:r>
              <w:rPr>
                <w:rFonts w:hint="eastAsia" w:eastAsia="仿宋_GB2312" w:cs="Times New Roman"/>
                <w:b/>
                <w:bCs/>
                <w:color w:val="auto"/>
                <w:kern w:val="0"/>
                <w:sz w:val="18"/>
                <w:szCs w:val="18"/>
                <w:highlight w:val="none"/>
                <w:lang w:val="en-US" w:eastAsia="zh-CN"/>
              </w:rPr>
              <w:t>3</w:t>
            </w:r>
          </w:p>
        </w:tc>
      </w:tr>
      <w:tr w14:paraId="296DFD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7B9FD8CF">
            <w:pPr>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65BF5773">
            <w:pPr>
              <w:widowControl/>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66D85DEE">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立项程序</w:t>
            </w:r>
          </w:p>
          <w:p w14:paraId="1216E7CA">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规范性</w:t>
            </w:r>
          </w:p>
        </w:tc>
        <w:tc>
          <w:tcPr>
            <w:tcW w:w="680" w:type="pct"/>
            <w:shd w:val="clear" w:color="auto" w:fill="FFFFFF"/>
            <w:vAlign w:val="center"/>
          </w:tcPr>
          <w:p w14:paraId="0F9CE8D4">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项目申请、设立过程是否符合相关要求，用以反映和考核项目立项的规范情况。</w:t>
            </w:r>
          </w:p>
        </w:tc>
        <w:tc>
          <w:tcPr>
            <w:tcW w:w="2055" w:type="pct"/>
            <w:shd w:val="clear" w:color="auto" w:fill="FFFFFF"/>
            <w:vAlign w:val="center"/>
          </w:tcPr>
          <w:p w14:paraId="67843E36">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①项目是否按照规定的程序申请设立；</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②审批文件、材料是否符合相关要求；</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③事前是否已经过必要的可行性研究、专家论证、风险评估、绩效评估、集体决策。</w:t>
            </w:r>
          </w:p>
        </w:tc>
        <w:tc>
          <w:tcPr>
            <w:tcW w:w="512" w:type="pct"/>
            <w:shd w:val="clear" w:color="auto" w:fill="FFFFFF"/>
            <w:vAlign w:val="center"/>
          </w:tcPr>
          <w:p w14:paraId="526AFB1F">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538" w:type="pct"/>
            <w:shd w:val="clear" w:color="auto" w:fill="FFFFFF"/>
            <w:vAlign w:val="center"/>
          </w:tcPr>
          <w:p w14:paraId="64C25552">
            <w:pPr>
              <w:widowControl/>
              <w:spacing w:line="0" w:lineRule="atLeast"/>
              <w:jc w:val="center"/>
              <w:rPr>
                <w:rFonts w:hint="eastAsia" w:ascii="Times New Roman" w:hAnsi="Times New Roman" w:eastAsia="仿宋_GB2312" w:cs="Times New Roman"/>
                <w:b/>
                <w:bCs/>
                <w:color w:val="auto"/>
                <w:kern w:val="0"/>
                <w:sz w:val="18"/>
                <w:szCs w:val="18"/>
                <w:lang w:eastAsia="zh-CN"/>
              </w:rPr>
            </w:pPr>
            <w:r>
              <w:rPr>
                <w:rFonts w:hint="eastAsia" w:eastAsia="仿宋_GB2312" w:cs="Times New Roman"/>
                <w:b/>
                <w:bCs/>
                <w:color w:val="auto"/>
                <w:kern w:val="0"/>
                <w:sz w:val="18"/>
                <w:szCs w:val="18"/>
                <w:highlight w:val="none"/>
                <w:lang w:val="en-US" w:eastAsia="zh-CN"/>
              </w:rPr>
              <w:t>3</w:t>
            </w:r>
          </w:p>
        </w:tc>
      </w:tr>
      <w:tr w14:paraId="5DB8B4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40980B97">
            <w:pPr>
              <w:spacing w:line="0" w:lineRule="atLeast"/>
              <w:jc w:val="center"/>
              <w:rPr>
                <w:rFonts w:hint="default" w:ascii="Times New Roman" w:hAnsi="Times New Roman" w:eastAsia="仿宋_GB2312" w:cs="Times New Roman"/>
                <w:color w:val="auto"/>
                <w:kern w:val="0"/>
                <w:sz w:val="18"/>
                <w:szCs w:val="18"/>
              </w:rPr>
            </w:pPr>
          </w:p>
        </w:tc>
        <w:tc>
          <w:tcPr>
            <w:tcW w:w="394" w:type="pct"/>
            <w:vMerge w:val="restart"/>
            <w:shd w:val="clear" w:color="auto" w:fill="FFFFFF"/>
            <w:vAlign w:val="center"/>
          </w:tcPr>
          <w:p w14:paraId="17DBAD7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绩效目标　</w:t>
            </w:r>
          </w:p>
        </w:tc>
        <w:tc>
          <w:tcPr>
            <w:tcW w:w="422" w:type="pct"/>
            <w:shd w:val="clear" w:color="auto" w:fill="FFFFFF"/>
            <w:vAlign w:val="center"/>
          </w:tcPr>
          <w:p w14:paraId="24ED9E2A">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绩效目标</w:t>
            </w:r>
          </w:p>
          <w:p w14:paraId="6381F1C2">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合理性</w:t>
            </w:r>
          </w:p>
        </w:tc>
        <w:tc>
          <w:tcPr>
            <w:tcW w:w="680" w:type="pct"/>
            <w:shd w:val="clear" w:color="000000" w:fill="FFFFFF"/>
            <w:vAlign w:val="center"/>
          </w:tcPr>
          <w:p w14:paraId="6D9F165A">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14:paraId="10CA1799">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（如未设定预算绩效目标，也可考核其他工作任务目标）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①项目是否有绩效目标；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②项目绩效目标与实际工作内容是否具有相关性；</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③项目预期产出效益和效果是否符合正常的业绩水平；</w:t>
            </w:r>
          </w:p>
          <w:p w14:paraId="0885484B">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④是否与预算确定的项目投资额或资金量相匹配。</w:t>
            </w:r>
          </w:p>
        </w:tc>
        <w:tc>
          <w:tcPr>
            <w:tcW w:w="512" w:type="pct"/>
            <w:shd w:val="clear" w:color="000000" w:fill="FFFFFF"/>
            <w:vAlign w:val="center"/>
          </w:tcPr>
          <w:p w14:paraId="7C243198">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538" w:type="pct"/>
            <w:shd w:val="clear" w:color="000000" w:fill="FFFFFF"/>
            <w:vAlign w:val="center"/>
          </w:tcPr>
          <w:p w14:paraId="3BBCCD6A">
            <w:pPr>
              <w:widowControl/>
              <w:spacing w:line="0" w:lineRule="atLeast"/>
              <w:jc w:val="center"/>
              <w:rPr>
                <w:rFonts w:hint="eastAsia" w:ascii="Times New Roman" w:hAnsi="Times New Roman" w:eastAsia="仿宋_GB2312" w:cs="Times New Roman"/>
                <w:b/>
                <w:bCs/>
                <w:color w:val="auto"/>
                <w:kern w:val="0"/>
                <w:sz w:val="18"/>
                <w:szCs w:val="18"/>
                <w:lang w:eastAsia="zh-CN"/>
              </w:rPr>
            </w:pPr>
            <w:r>
              <w:rPr>
                <w:rFonts w:hint="eastAsia" w:eastAsia="仿宋_GB2312" w:cs="Times New Roman"/>
                <w:b/>
                <w:bCs/>
                <w:color w:val="auto"/>
                <w:kern w:val="0"/>
                <w:sz w:val="18"/>
                <w:szCs w:val="18"/>
                <w:highlight w:val="none"/>
                <w:lang w:val="en-US" w:eastAsia="zh-CN"/>
              </w:rPr>
              <w:t>3</w:t>
            </w:r>
          </w:p>
        </w:tc>
      </w:tr>
      <w:tr w14:paraId="77DF26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0312B036">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18ADB4A1">
            <w:pPr>
              <w:widowControl/>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4D129826">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绩效指标</w:t>
            </w:r>
          </w:p>
          <w:p w14:paraId="3F79434B">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明确性</w:t>
            </w:r>
          </w:p>
        </w:tc>
        <w:tc>
          <w:tcPr>
            <w:tcW w:w="680" w:type="pct"/>
            <w:shd w:val="clear" w:color="000000" w:fill="FFFFFF"/>
            <w:vAlign w:val="center"/>
          </w:tcPr>
          <w:p w14:paraId="5CAC422A">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14:paraId="188514F6">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①是否将项目绩效目标细化分解为具体的绩效指标；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②是否通过清晰、可衡量的指标值予以体现；</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③是否与项目目标任务数或计划数相对应。</w:t>
            </w:r>
            <w:r>
              <w:rPr>
                <w:rFonts w:hint="default" w:ascii="Times New Roman" w:hAnsi="Times New Roman" w:eastAsia="仿宋_GB2312" w:cs="Times New Roman"/>
                <w:color w:val="auto"/>
                <w:kern w:val="0"/>
                <w:sz w:val="18"/>
                <w:szCs w:val="18"/>
              </w:rPr>
              <w:br w:type="textWrapping"/>
            </w:r>
          </w:p>
        </w:tc>
        <w:tc>
          <w:tcPr>
            <w:tcW w:w="512" w:type="pct"/>
            <w:shd w:val="clear" w:color="000000" w:fill="FFFFFF"/>
            <w:vAlign w:val="center"/>
          </w:tcPr>
          <w:p w14:paraId="5B433E52">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3</w:t>
            </w:r>
          </w:p>
        </w:tc>
        <w:tc>
          <w:tcPr>
            <w:tcW w:w="538" w:type="pct"/>
            <w:shd w:val="clear" w:color="000000" w:fill="FFFFFF"/>
            <w:vAlign w:val="center"/>
          </w:tcPr>
          <w:p w14:paraId="0E6AB468">
            <w:pPr>
              <w:widowControl/>
              <w:spacing w:line="0" w:lineRule="atLeast"/>
              <w:jc w:val="center"/>
              <w:rPr>
                <w:rFonts w:hint="eastAsia" w:ascii="Times New Roman" w:hAnsi="Times New Roman" w:eastAsia="仿宋_GB2312" w:cs="Times New Roman"/>
                <w:b/>
                <w:bCs/>
                <w:color w:val="auto"/>
                <w:kern w:val="0"/>
                <w:sz w:val="18"/>
                <w:szCs w:val="18"/>
                <w:lang w:eastAsia="zh-CN"/>
              </w:rPr>
            </w:pPr>
            <w:r>
              <w:rPr>
                <w:rFonts w:hint="eastAsia" w:ascii="Times New Roman" w:hAnsi="Times New Roman" w:eastAsia="仿宋_GB2312" w:cs="Times New Roman"/>
                <w:b/>
                <w:bCs/>
                <w:color w:val="auto"/>
                <w:kern w:val="0"/>
                <w:sz w:val="18"/>
                <w:szCs w:val="18"/>
                <w:lang w:val="en-US" w:eastAsia="zh-CN"/>
              </w:rPr>
              <w:t>3</w:t>
            </w:r>
          </w:p>
        </w:tc>
      </w:tr>
      <w:tr w14:paraId="077A89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0EEB8A61">
            <w:pPr>
              <w:spacing w:line="0" w:lineRule="atLeast"/>
              <w:jc w:val="center"/>
              <w:rPr>
                <w:rFonts w:hint="default" w:ascii="Times New Roman" w:hAnsi="Times New Roman" w:eastAsia="仿宋_GB2312" w:cs="Times New Roman"/>
                <w:color w:val="auto"/>
                <w:kern w:val="0"/>
                <w:sz w:val="18"/>
                <w:szCs w:val="18"/>
              </w:rPr>
            </w:pPr>
          </w:p>
        </w:tc>
        <w:tc>
          <w:tcPr>
            <w:tcW w:w="394" w:type="pct"/>
            <w:vMerge w:val="restart"/>
            <w:shd w:val="clear" w:color="auto" w:fill="FFFFFF"/>
            <w:vAlign w:val="center"/>
          </w:tcPr>
          <w:p w14:paraId="40FAD23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资金投入</w:t>
            </w:r>
          </w:p>
          <w:p w14:paraId="5F2B2B12">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422" w:type="pct"/>
            <w:shd w:val="clear" w:color="auto" w:fill="FFFFFF"/>
            <w:vAlign w:val="center"/>
          </w:tcPr>
          <w:p w14:paraId="64C7E47A">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预算编制</w:t>
            </w:r>
          </w:p>
          <w:p w14:paraId="561917F4">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科学性</w:t>
            </w:r>
          </w:p>
        </w:tc>
        <w:tc>
          <w:tcPr>
            <w:tcW w:w="680" w:type="pct"/>
            <w:shd w:val="clear" w:color="auto" w:fill="FFFFFF"/>
            <w:vAlign w:val="center"/>
          </w:tcPr>
          <w:p w14:paraId="1A153EDF">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11B294B7">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①预算编制是否经过科学论证；</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②预算内容与项目内容是否匹配；</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③预算额度测算依据是否充分，是否按照标准编制；</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④预算确定的项目投资额或资金量是否与工作任务相匹配。</w:t>
            </w:r>
          </w:p>
        </w:tc>
        <w:tc>
          <w:tcPr>
            <w:tcW w:w="512" w:type="pct"/>
            <w:shd w:val="clear" w:color="auto" w:fill="FFFFFF"/>
            <w:vAlign w:val="center"/>
          </w:tcPr>
          <w:p w14:paraId="4D151419">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auto" w:fill="FFFFFF"/>
            <w:vAlign w:val="center"/>
          </w:tcPr>
          <w:p w14:paraId="237F7099">
            <w:pPr>
              <w:widowControl/>
              <w:spacing w:line="0" w:lineRule="atLeast"/>
              <w:jc w:val="center"/>
              <w:rPr>
                <w:rFonts w:hint="eastAsia" w:ascii="Times New Roman" w:hAnsi="Times New Roman" w:eastAsia="仿宋_GB2312" w:cs="Times New Roman"/>
                <w:b/>
                <w:bCs/>
                <w:color w:val="auto"/>
                <w:kern w:val="0"/>
                <w:sz w:val="18"/>
                <w:szCs w:val="18"/>
                <w:lang w:eastAsia="zh-CN"/>
              </w:rPr>
            </w:pPr>
            <w:r>
              <w:rPr>
                <w:rFonts w:hint="eastAsia" w:ascii="Times New Roman" w:hAnsi="Times New Roman" w:eastAsia="仿宋_GB2312" w:cs="Times New Roman"/>
                <w:b/>
                <w:bCs/>
                <w:color w:val="auto"/>
                <w:kern w:val="0"/>
                <w:sz w:val="18"/>
                <w:szCs w:val="18"/>
                <w:lang w:val="en-US" w:eastAsia="zh-CN"/>
              </w:rPr>
              <w:t>4</w:t>
            </w:r>
          </w:p>
        </w:tc>
      </w:tr>
      <w:tr w14:paraId="5ABA7A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7BA337D7">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74498480">
            <w:pPr>
              <w:widowControl/>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4970E02D">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资金分配</w:t>
            </w:r>
          </w:p>
          <w:p w14:paraId="42729C2B">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合理性</w:t>
            </w:r>
          </w:p>
        </w:tc>
        <w:tc>
          <w:tcPr>
            <w:tcW w:w="680" w:type="pct"/>
            <w:shd w:val="clear" w:color="auto" w:fill="FFFFFF"/>
            <w:vAlign w:val="center"/>
          </w:tcPr>
          <w:p w14:paraId="371E3B68">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580BAAB3">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①预算资金分配依据是否充分；</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②资金分配额度是否合理，与项目单位或地方实际是否相适应。</w:t>
            </w:r>
          </w:p>
        </w:tc>
        <w:tc>
          <w:tcPr>
            <w:tcW w:w="512" w:type="pct"/>
            <w:shd w:val="clear" w:color="auto" w:fill="FFFFFF"/>
            <w:vAlign w:val="center"/>
          </w:tcPr>
          <w:p w14:paraId="797DF43B">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auto" w:fill="FFFFFF"/>
            <w:vAlign w:val="center"/>
          </w:tcPr>
          <w:p w14:paraId="209DB77A">
            <w:pPr>
              <w:widowControl/>
              <w:spacing w:line="0" w:lineRule="atLeast"/>
              <w:jc w:val="center"/>
              <w:rPr>
                <w:rFonts w:hint="eastAsia" w:ascii="Times New Roman" w:hAnsi="Times New Roman" w:eastAsia="仿宋_GB2312" w:cs="Times New Roman"/>
                <w:b/>
                <w:bCs/>
                <w:color w:val="auto"/>
                <w:kern w:val="0"/>
                <w:sz w:val="18"/>
                <w:szCs w:val="18"/>
                <w:lang w:eastAsia="zh-CN"/>
              </w:rPr>
            </w:pPr>
            <w:r>
              <w:rPr>
                <w:rFonts w:hint="eastAsia" w:ascii="Times New Roman" w:hAnsi="Times New Roman" w:eastAsia="仿宋_GB2312" w:cs="Times New Roman"/>
                <w:b/>
                <w:bCs/>
                <w:color w:val="auto"/>
                <w:kern w:val="0"/>
                <w:sz w:val="18"/>
                <w:szCs w:val="18"/>
                <w:lang w:val="en-US" w:eastAsia="zh-CN"/>
              </w:rPr>
              <w:t>4</w:t>
            </w:r>
          </w:p>
        </w:tc>
      </w:tr>
      <w:tr w14:paraId="5AF0C1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05430032">
            <w:pPr>
              <w:spacing w:line="0" w:lineRule="atLeast"/>
              <w:jc w:val="center"/>
              <w:rPr>
                <w:rFonts w:hint="default" w:ascii="Times New Roman" w:hAnsi="Times New Roman" w:eastAsia="仿宋_GB2312" w:cs="Times New Roman"/>
                <w:color w:val="auto"/>
                <w:kern w:val="0"/>
                <w:sz w:val="18"/>
                <w:szCs w:val="18"/>
              </w:rPr>
            </w:pPr>
          </w:p>
          <w:p w14:paraId="6C5DAFD5">
            <w:pPr>
              <w:spacing w:line="0" w:lineRule="atLeast"/>
              <w:jc w:val="center"/>
              <w:rPr>
                <w:rFonts w:hint="default" w:ascii="Times New Roman" w:hAnsi="Times New Roman" w:eastAsia="仿宋_GB2312" w:cs="Times New Roman"/>
                <w:color w:val="auto"/>
                <w:kern w:val="0"/>
                <w:sz w:val="18"/>
                <w:szCs w:val="18"/>
              </w:rPr>
            </w:pPr>
          </w:p>
          <w:p w14:paraId="020C018E">
            <w:pPr>
              <w:spacing w:line="0" w:lineRule="atLeast"/>
              <w:jc w:val="center"/>
              <w:rPr>
                <w:rFonts w:hint="default" w:ascii="Times New Roman" w:hAnsi="Times New Roman" w:eastAsia="仿宋_GB2312" w:cs="Times New Roman"/>
                <w:color w:val="auto"/>
                <w:kern w:val="0"/>
                <w:sz w:val="18"/>
                <w:szCs w:val="18"/>
              </w:rPr>
            </w:pPr>
          </w:p>
          <w:p w14:paraId="5395AA74">
            <w:pPr>
              <w:spacing w:line="0" w:lineRule="atLeast"/>
              <w:jc w:val="center"/>
              <w:rPr>
                <w:rFonts w:hint="default" w:ascii="Times New Roman" w:hAnsi="Times New Roman" w:eastAsia="仿宋_GB2312" w:cs="Times New Roman"/>
                <w:color w:val="auto"/>
                <w:kern w:val="0"/>
                <w:sz w:val="18"/>
                <w:szCs w:val="18"/>
              </w:rPr>
            </w:pPr>
          </w:p>
          <w:p w14:paraId="3C512161">
            <w:pPr>
              <w:spacing w:line="0" w:lineRule="atLeast"/>
              <w:jc w:val="center"/>
              <w:rPr>
                <w:rFonts w:hint="default" w:ascii="Times New Roman" w:hAnsi="Times New Roman" w:eastAsia="仿宋_GB2312" w:cs="Times New Roman"/>
                <w:color w:val="auto"/>
                <w:kern w:val="0"/>
                <w:sz w:val="18"/>
                <w:szCs w:val="18"/>
              </w:rPr>
            </w:pPr>
          </w:p>
          <w:p w14:paraId="08BB1E70">
            <w:pPr>
              <w:spacing w:line="0" w:lineRule="atLeast"/>
              <w:jc w:val="center"/>
              <w:rPr>
                <w:rFonts w:hint="default" w:ascii="Times New Roman" w:hAnsi="Times New Roman" w:eastAsia="仿宋_GB2312" w:cs="Times New Roman"/>
                <w:color w:val="auto"/>
                <w:kern w:val="0"/>
                <w:sz w:val="18"/>
                <w:szCs w:val="18"/>
              </w:rPr>
            </w:pPr>
          </w:p>
          <w:p w14:paraId="363F93FD">
            <w:pPr>
              <w:spacing w:line="0" w:lineRule="atLeast"/>
              <w:jc w:val="center"/>
              <w:rPr>
                <w:rFonts w:hint="default" w:ascii="Times New Roman" w:hAnsi="Times New Roman" w:eastAsia="仿宋_GB2312" w:cs="Times New Roman"/>
                <w:color w:val="auto"/>
                <w:kern w:val="0"/>
                <w:sz w:val="18"/>
                <w:szCs w:val="18"/>
              </w:rPr>
            </w:pPr>
          </w:p>
          <w:p w14:paraId="77EAAF13">
            <w:pPr>
              <w:spacing w:line="0" w:lineRule="atLeast"/>
              <w:jc w:val="center"/>
              <w:rPr>
                <w:rFonts w:hint="default" w:ascii="Times New Roman" w:hAnsi="Times New Roman" w:eastAsia="仿宋_GB2312" w:cs="Times New Roman"/>
                <w:color w:val="auto"/>
                <w:kern w:val="0"/>
                <w:sz w:val="18"/>
                <w:szCs w:val="18"/>
              </w:rPr>
            </w:pPr>
          </w:p>
          <w:p w14:paraId="11DD0ADC">
            <w:pPr>
              <w:spacing w:line="0" w:lineRule="atLeast"/>
              <w:jc w:val="center"/>
              <w:rPr>
                <w:rFonts w:hint="default" w:ascii="Times New Roman" w:hAnsi="Times New Roman" w:eastAsia="仿宋_GB2312" w:cs="Times New Roman"/>
                <w:color w:val="auto"/>
                <w:kern w:val="0"/>
                <w:sz w:val="18"/>
                <w:szCs w:val="18"/>
              </w:rPr>
            </w:pPr>
          </w:p>
          <w:p w14:paraId="76EA04C3">
            <w:pPr>
              <w:spacing w:line="0" w:lineRule="atLeast"/>
              <w:jc w:val="center"/>
              <w:rPr>
                <w:rFonts w:hint="default" w:ascii="Times New Roman" w:hAnsi="Times New Roman" w:eastAsia="仿宋_GB2312" w:cs="Times New Roman"/>
                <w:color w:val="auto"/>
                <w:kern w:val="0"/>
                <w:sz w:val="18"/>
                <w:szCs w:val="18"/>
              </w:rPr>
            </w:pPr>
          </w:p>
          <w:p w14:paraId="54155339">
            <w:pPr>
              <w:spacing w:line="0" w:lineRule="atLeast"/>
              <w:jc w:val="center"/>
              <w:rPr>
                <w:rFonts w:hint="default" w:ascii="Times New Roman" w:hAnsi="Times New Roman" w:eastAsia="仿宋_GB2312" w:cs="Times New Roman"/>
                <w:color w:val="auto"/>
                <w:kern w:val="0"/>
                <w:sz w:val="18"/>
                <w:szCs w:val="18"/>
              </w:rPr>
            </w:pPr>
          </w:p>
          <w:p w14:paraId="6CBDAD33">
            <w:pPr>
              <w:spacing w:line="0" w:lineRule="atLeast"/>
              <w:jc w:val="center"/>
              <w:rPr>
                <w:rFonts w:hint="default" w:ascii="Times New Roman" w:hAnsi="Times New Roman" w:eastAsia="仿宋_GB2312" w:cs="Times New Roman"/>
                <w:color w:val="auto"/>
                <w:kern w:val="0"/>
                <w:sz w:val="18"/>
                <w:szCs w:val="18"/>
              </w:rPr>
            </w:pPr>
          </w:p>
          <w:p w14:paraId="2A145E8B">
            <w:pPr>
              <w:spacing w:line="0" w:lineRule="atLeast"/>
              <w:jc w:val="center"/>
              <w:rPr>
                <w:rFonts w:hint="default" w:ascii="Times New Roman" w:hAnsi="Times New Roman" w:eastAsia="仿宋_GB2312" w:cs="Times New Roman"/>
                <w:color w:val="auto"/>
                <w:kern w:val="0"/>
                <w:sz w:val="18"/>
                <w:szCs w:val="18"/>
              </w:rPr>
            </w:pPr>
          </w:p>
          <w:p w14:paraId="05B76E7B">
            <w:pPr>
              <w:spacing w:line="0" w:lineRule="atLeast"/>
              <w:jc w:val="center"/>
              <w:rPr>
                <w:rFonts w:hint="default" w:ascii="Times New Roman" w:hAnsi="Times New Roman" w:eastAsia="仿宋_GB2312" w:cs="Times New Roman"/>
                <w:color w:val="auto"/>
                <w:kern w:val="0"/>
                <w:sz w:val="18"/>
                <w:szCs w:val="18"/>
              </w:rPr>
            </w:pPr>
          </w:p>
          <w:p w14:paraId="171B5E76">
            <w:pPr>
              <w:spacing w:line="0" w:lineRule="atLeast"/>
              <w:jc w:val="center"/>
              <w:rPr>
                <w:rFonts w:hint="default" w:ascii="Times New Roman" w:hAnsi="Times New Roman" w:eastAsia="仿宋_GB2312" w:cs="Times New Roman"/>
                <w:color w:val="auto"/>
                <w:kern w:val="0"/>
                <w:sz w:val="18"/>
                <w:szCs w:val="18"/>
              </w:rPr>
            </w:pPr>
          </w:p>
          <w:p w14:paraId="0068E47E">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过程</w:t>
            </w:r>
          </w:p>
          <w:p w14:paraId="71754F53">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394" w:type="pct"/>
            <w:vMerge w:val="restart"/>
            <w:shd w:val="clear" w:color="auto" w:fill="FFFFFF"/>
            <w:vAlign w:val="center"/>
          </w:tcPr>
          <w:p w14:paraId="661F4CFB">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资金管理</w:t>
            </w:r>
          </w:p>
        </w:tc>
        <w:tc>
          <w:tcPr>
            <w:tcW w:w="422" w:type="pct"/>
            <w:shd w:val="clear" w:color="auto" w:fill="FFFFFF"/>
            <w:vAlign w:val="center"/>
          </w:tcPr>
          <w:p w14:paraId="37FACCE8">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资金到位率</w:t>
            </w:r>
          </w:p>
        </w:tc>
        <w:tc>
          <w:tcPr>
            <w:tcW w:w="680" w:type="pct"/>
            <w:shd w:val="clear" w:color="000000" w:fill="FFFFFF"/>
            <w:vAlign w:val="center"/>
          </w:tcPr>
          <w:p w14:paraId="300893A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实际到位资金与预算资金的比率，用以反映和考核资金落实情况对项目实施的总体保障程度。</w:t>
            </w:r>
          </w:p>
        </w:tc>
        <w:tc>
          <w:tcPr>
            <w:tcW w:w="2055" w:type="pct"/>
            <w:shd w:val="clear" w:color="000000" w:fill="FFFFFF"/>
            <w:vAlign w:val="center"/>
          </w:tcPr>
          <w:p w14:paraId="670122C6">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资金到位率=（实际到位资金/预算资金）×100%。</w:t>
            </w:r>
          </w:p>
          <w:p w14:paraId="57EAE1C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实际到位资金：一定时期（本年度或项目期）内落实到具体项目的资金。</w:t>
            </w:r>
          </w:p>
          <w:p w14:paraId="5D751D9A">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预算资金：一定时期（本年度或项目期）内预算安排到具体项目的资金。</w:t>
            </w:r>
          </w:p>
        </w:tc>
        <w:tc>
          <w:tcPr>
            <w:tcW w:w="512" w:type="pct"/>
            <w:shd w:val="clear" w:color="000000" w:fill="FFFFFF"/>
            <w:vAlign w:val="center"/>
          </w:tcPr>
          <w:p w14:paraId="0689A852">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000000" w:fill="FFFFFF"/>
            <w:vAlign w:val="center"/>
          </w:tcPr>
          <w:p w14:paraId="04410046">
            <w:pPr>
              <w:widowControl/>
              <w:spacing w:line="0" w:lineRule="atLeast"/>
              <w:jc w:val="center"/>
              <w:rPr>
                <w:rFonts w:hint="eastAsia" w:ascii="Times New Roman" w:hAnsi="Times New Roman" w:eastAsia="仿宋_GB2312" w:cs="Times New Roman"/>
                <w:b/>
                <w:bCs/>
                <w:color w:val="auto"/>
                <w:kern w:val="0"/>
                <w:sz w:val="18"/>
                <w:szCs w:val="18"/>
                <w:lang w:eastAsia="zh-CN"/>
              </w:rPr>
            </w:pPr>
            <w:r>
              <w:rPr>
                <w:rFonts w:hint="eastAsia" w:eastAsia="仿宋_GB2312" w:cs="Times New Roman"/>
                <w:b/>
                <w:bCs/>
                <w:color w:val="auto"/>
                <w:kern w:val="0"/>
                <w:sz w:val="18"/>
                <w:szCs w:val="18"/>
                <w:highlight w:val="none"/>
                <w:lang w:val="en-US" w:eastAsia="zh-CN"/>
              </w:rPr>
              <w:t>4</w:t>
            </w:r>
          </w:p>
        </w:tc>
      </w:tr>
      <w:tr w14:paraId="4368FA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07053BDC">
            <w:pPr>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5CDB50CC">
            <w:pPr>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7FAB6319">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预算执行率</w:t>
            </w:r>
          </w:p>
        </w:tc>
        <w:tc>
          <w:tcPr>
            <w:tcW w:w="680" w:type="pct"/>
            <w:shd w:val="clear" w:color="auto" w:fill="FFFFFF"/>
            <w:vAlign w:val="center"/>
          </w:tcPr>
          <w:p w14:paraId="44338293">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项目预算资金是否按照计划执行，用以反映或考核项目预算执行情况。</w:t>
            </w:r>
          </w:p>
        </w:tc>
        <w:tc>
          <w:tcPr>
            <w:tcW w:w="2055" w:type="pct"/>
            <w:shd w:val="clear" w:color="auto" w:fill="FFFFFF"/>
            <w:vAlign w:val="center"/>
          </w:tcPr>
          <w:p w14:paraId="3375E321">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预算执行率=（实际支出资金/实际到位资金）×100%。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实际支出资金：一定时期（本年度或项目期）内项目实际拨付的资金。</w:t>
            </w:r>
          </w:p>
        </w:tc>
        <w:tc>
          <w:tcPr>
            <w:tcW w:w="512" w:type="pct"/>
            <w:shd w:val="clear" w:color="auto" w:fill="FFFFFF"/>
            <w:vAlign w:val="center"/>
          </w:tcPr>
          <w:p w14:paraId="06FD1334">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auto" w:fill="FFFFFF"/>
            <w:vAlign w:val="center"/>
          </w:tcPr>
          <w:p w14:paraId="7BC68DD8">
            <w:pPr>
              <w:widowControl/>
              <w:spacing w:line="0" w:lineRule="atLeast"/>
              <w:jc w:val="center"/>
              <w:rPr>
                <w:rFonts w:hint="eastAsia" w:ascii="Times New Roman" w:hAnsi="Times New Roman" w:eastAsia="仿宋_GB2312" w:cs="Times New Roman"/>
                <w:b/>
                <w:bCs/>
                <w:color w:val="auto"/>
                <w:kern w:val="0"/>
                <w:sz w:val="18"/>
                <w:szCs w:val="18"/>
                <w:lang w:eastAsia="zh-CN"/>
              </w:rPr>
            </w:pPr>
            <w:r>
              <w:rPr>
                <w:rFonts w:hint="eastAsia" w:ascii="Times New Roman" w:hAnsi="Times New Roman" w:eastAsia="仿宋_GB2312" w:cs="Times New Roman"/>
                <w:b/>
                <w:bCs/>
                <w:color w:val="auto"/>
                <w:kern w:val="0"/>
                <w:sz w:val="18"/>
                <w:szCs w:val="18"/>
                <w:lang w:val="en-US" w:eastAsia="zh-CN"/>
              </w:rPr>
              <w:t>4</w:t>
            </w:r>
          </w:p>
        </w:tc>
      </w:tr>
      <w:tr w14:paraId="5FB595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066A593C">
            <w:pPr>
              <w:spacing w:line="0" w:lineRule="atLeast"/>
              <w:jc w:val="center"/>
              <w:rPr>
                <w:rFonts w:hint="default" w:ascii="Times New Roman" w:hAnsi="Times New Roman" w:eastAsia="仿宋_GB2312" w:cs="Times New Roman"/>
                <w:color w:val="auto"/>
                <w:kern w:val="0"/>
                <w:sz w:val="18"/>
                <w:szCs w:val="18"/>
              </w:rPr>
            </w:pPr>
          </w:p>
        </w:tc>
        <w:tc>
          <w:tcPr>
            <w:tcW w:w="394" w:type="pct"/>
            <w:shd w:val="clear" w:color="auto" w:fill="FFFFFF"/>
            <w:vAlign w:val="center"/>
          </w:tcPr>
          <w:p w14:paraId="1CA1990E">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资金管理</w:t>
            </w:r>
          </w:p>
        </w:tc>
        <w:tc>
          <w:tcPr>
            <w:tcW w:w="422" w:type="pct"/>
            <w:shd w:val="clear" w:color="auto" w:fill="FFFFFF"/>
            <w:vAlign w:val="center"/>
          </w:tcPr>
          <w:p w14:paraId="46CBD474">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资金使用</w:t>
            </w:r>
          </w:p>
          <w:p w14:paraId="667498DB">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合规性</w:t>
            </w:r>
          </w:p>
        </w:tc>
        <w:tc>
          <w:tcPr>
            <w:tcW w:w="680" w:type="pct"/>
            <w:shd w:val="clear" w:color="000000" w:fill="FFFFFF"/>
            <w:vAlign w:val="center"/>
          </w:tcPr>
          <w:p w14:paraId="354E54B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项目资金使用是否符合相关的财务管理制度规定，用以反映和考核项目资金的规范运行情况。</w:t>
            </w:r>
          </w:p>
        </w:tc>
        <w:tc>
          <w:tcPr>
            <w:tcW w:w="2055" w:type="pct"/>
            <w:shd w:val="clear" w:color="000000" w:fill="FFFFFF"/>
            <w:vAlign w:val="center"/>
          </w:tcPr>
          <w:p w14:paraId="4C166E75">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②资金的拨付是否有完整的审批程序和手续；</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③是否符合项目预算批复或合同规定的用途；</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④是否存在截留、挤占、挪用、虚列支出等情况。</w:t>
            </w:r>
          </w:p>
        </w:tc>
        <w:tc>
          <w:tcPr>
            <w:tcW w:w="512" w:type="pct"/>
            <w:shd w:val="clear" w:color="000000" w:fill="FFFFFF"/>
            <w:vAlign w:val="center"/>
          </w:tcPr>
          <w:p w14:paraId="2D154A63">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000000" w:fill="FFFFFF"/>
            <w:vAlign w:val="center"/>
          </w:tcPr>
          <w:p w14:paraId="2DADA82F">
            <w:pPr>
              <w:widowControl/>
              <w:spacing w:line="0" w:lineRule="atLeast"/>
              <w:jc w:val="center"/>
              <w:rPr>
                <w:rFonts w:hint="eastAsia" w:ascii="Times New Roman" w:hAnsi="Times New Roman" w:eastAsia="仿宋_GB2312" w:cs="Times New Roman"/>
                <w:b/>
                <w:bCs/>
                <w:color w:val="auto"/>
                <w:kern w:val="0"/>
                <w:sz w:val="18"/>
                <w:szCs w:val="18"/>
                <w:lang w:eastAsia="zh-CN"/>
              </w:rPr>
            </w:pPr>
            <w:r>
              <w:rPr>
                <w:rFonts w:hint="eastAsia" w:ascii="Times New Roman" w:hAnsi="Times New Roman" w:eastAsia="仿宋_GB2312" w:cs="Times New Roman"/>
                <w:b/>
                <w:bCs/>
                <w:color w:val="auto"/>
                <w:kern w:val="0"/>
                <w:sz w:val="18"/>
                <w:szCs w:val="18"/>
                <w:lang w:val="en-US" w:eastAsia="zh-CN"/>
              </w:rPr>
              <w:t>4</w:t>
            </w:r>
          </w:p>
        </w:tc>
      </w:tr>
      <w:tr w14:paraId="0F7240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64955C59">
            <w:pPr>
              <w:spacing w:line="0" w:lineRule="atLeast"/>
              <w:jc w:val="center"/>
              <w:rPr>
                <w:rFonts w:hint="default" w:ascii="Times New Roman" w:hAnsi="Times New Roman" w:eastAsia="仿宋_GB2312" w:cs="Times New Roman"/>
                <w:color w:val="auto"/>
                <w:kern w:val="0"/>
                <w:sz w:val="18"/>
                <w:szCs w:val="18"/>
              </w:rPr>
            </w:pPr>
          </w:p>
        </w:tc>
        <w:tc>
          <w:tcPr>
            <w:tcW w:w="394" w:type="pct"/>
            <w:vMerge w:val="restart"/>
            <w:shd w:val="clear" w:color="auto" w:fill="FFFFFF"/>
            <w:vAlign w:val="center"/>
          </w:tcPr>
          <w:p w14:paraId="68326FF2">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组织实施</w:t>
            </w:r>
          </w:p>
          <w:p w14:paraId="2DB6946E">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　</w:t>
            </w:r>
          </w:p>
        </w:tc>
        <w:tc>
          <w:tcPr>
            <w:tcW w:w="422" w:type="pct"/>
            <w:shd w:val="clear" w:color="auto" w:fill="FFFFFF"/>
            <w:vAlign w:val="center"/>
          </w:tcPr>
          <w:p w14:paraId="0EC8B42F">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管理制度</w:t>
            </w:r>
          </w:p>
          <w:p w14:paraId="20D73BB5">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健全性</w:t>
            </w:r>
          </w:p>
        </w:tc>
        <w:tc>
          <w:tcPr>
            <w:tcW w:w="680" w:type="pct"/>
            <w:shd w:val="clear" w:color="000000" w:fill="FFFFFF"/>
            <w:vAlign w:val="center"/>
          </w:tcPr>
          <w:p w14:paraId="44500EA9">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14:paraId="61FC962D">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①是否已制定或具有相应的财务和业务管理制度；</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②财务和业务管理制度是否合法、合规、完整。</w:t>
            </w:r>
          </w:p>
        </w:tc>
        <w:tc>
          <w:tcPr>
            <w:tcW w:w="512" w:type="pct"/>
            <w:shd w:val="clear" w:color="000000" w:fill="FFFFFF"/>
            <w:vAlign w:val="center"/>
          </w:tcPr>
          <w:p w14:paraId="30268D79">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000000" w:fill="FFFFFF"/>
            <w:vAlign w:val="center"/>
          </w:tcPr>
          <w:p w14:paraId="504AFC88">
            <w:pPr>
              <w:widowControl/>
              <w:spacing w:line="0" w:lineRule="atLeast"/>
              <w:jc w:val="center"/>
              <w:rPr>
                <w:rFonts w:hint="eastAsia" w:ascii="Times New Roman" w:hAnsi="Times New Roman" w:eastAsia="仿宋_GB2312" w:cs="Times New Roman"/>
                <w:b/>
                <w:bCs/>
                <w:color w:val="auto"/>
                <w:kern w:val="0"/>
                <w:sz w:val="18"/>
                <w:szCs w:val="18"/>
                <w:lang w:eastAsia="zh-CN"/>
              </w:rPr>
            </w:pPr>
            <w:r>
              <w:rPr>
                <w:rFonts w:hint="eastAsia" w:ascii="Times New Roman" w:hAnsi="Times New Roman" w:eastAsia="仿宋_GB2312" w:cs="Times New Roman"/>
                <w:b/>
                <w:bCs/>
                <w:color w:val="auto"/>
                <w:kern w:val="0"/>
                <w:sz w:val="18"/>
                <w:szCs w:val="18"/>
                <w:lang w:val="en-US" w:eastAsia="zh-CN"/>
              </w:rPr>
              <w:t>4</w:t>
            </w:r>
          </w:p>
        </w:tc>
      </w:tr>
      <w:tr w14:paraId="01D601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485AEF3F">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77AE2852">
            <w:pPr>
              <w:widowControl/>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70B42AB8">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制度执行</w:t>
            </w:r>
          </w:p>
          <w:p w14:paraId="74D52061">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有效性</w:t>
            </w:r>
          </w:p>
        </w:tc>
        <w:tc>
          <w:tcPr>
            <w:tcW w:w="680" w:type="pct"/>
            <w:shd w:val="clear" w:color="000000" w:fill="FFFFFF"/>
            <w:vAlign w:val="center"/>
          </w:tcPr>
          <w:p w14:paraId="2C8AE936">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项目实施是否符合相关管理规定，用以反映和考核相关管理制度的有效执行情况。</w:t>
            </w:r>
          </w:p>
        </w:tc>
        <w:tc>
          <w:tcPr>
            <w:tcW w:w="2055" w:type="pct"/>
            <w:shd w:val="clear" w:color="000000" w:fill="FFFFFF"/>
            <w:vAlign w:val="center"/>
          </w:tcPr>
          <w:p w14:paraId="7BC684FB">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评价要点：</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①是否遵守相关法律法规和相关管理规定；</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②项目调整及支出调整手续是否完备；</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③项目合同书、验收报告、技术鉴定等资料是否齐全并及时归档；</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④项目实施的人员条件、场地设备、信息支撑等是否落实到位。</w:t>
            </w:r>
          </w:p>
        </w:tc>
        <w:tc>
          <w:tcPr>
            <w:tcW w:w="512" w:type="pct"/>
            <w:shd w:val="clear" w:color="000000" w:fill="FFFFFF"/>
            <w:vAlign w:val="center"/>
          </w:tcPr>
          <w:p w14:paraId="7311636D">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4</w:t>
            </w:r>
          </w:p>
        </w:tc>
        <w:tc>
          <w:tcPr>
            <w:tcW w:w="538" w:type="pct"/>
            <w:shd w:val="clear" w:color="000000" w:fill="FFFFFF"/>
            <w:vAlign w:val="center"/>
          </w:tcPr>
          <w:p w14:paraId="72A2C51E">
            <w:pPr>
              <w:widowControl/>
              <w:spacing w:line="0" w:lineRule="atLeast"/>
              <w:jc w:val="center"/>
              <w:rPr>
                <w:rFonts w:hint="eastAsia" w:ascii="Times New Roman" w:hAnsi="Times New Roman" w:eastAsia="仿宋_GB2312" w:cs="Times New Roman"/>
                <w:b/>
                <w:bCs/>
                <w:color w:val="auto"/>
                <w:kern w:val="0"/>
                <w:sz w:val="18"/>
                <w:szCs w:val="18"/>
                <w:lang w:eastAsia="zh-CN"/>
              </w:rPr>
            </w:pPr>
            <w:r>
              <w:rPr>
                <w:rFonts w:hint="eastAsia" w:ascii="Times New Roman" w:hAnsi="Times New Roman" w:eastAsia="仿宋_GB2312" w:cs="Times New Roman"/>
                <w:b/>
                <w:bCs/>
                <w:color w:val="auto"/>
                <w:kern w:val="0"/>
                <w:sz w:val="18"/>
                <w:szCs w:val="18"/>
                <w:lang w:val="en-US" w:eastAsia="zh-CN"/>
              </w:rPr>
              <w:t>4</w:t>
            </w:r>
          </w:p>
        </w:tc>
      </w:tr>
      <w:tr w14:paraId="4B911C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11A57B3E">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w:t>
            </w:r>
          </w:p>
        </w:tc>
        <w:tc>
          <w:tcPr>
            <w:tcW w:w="394" w:type="pct"/>
            <w:shd w:val="clear" w:color="auto" w:fill="FFFFFF"/>
            <w:vAlign w:val="center"/>
          </w:tcPr>
          <w:p w14:paraId="45B7CE2D">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产出数量</w:t>
            </w:r>
          </w:p>
        </w:tc>
        <w:tc>
          <w:tcPr>
            <w:tcW w:w="422" w:type="pct"/>
            <w:shd w:val="clear" w:color="auto" w:fill="FFFFFF"/>
            <w:vAlign w:val="center"/>
          </w:tcPr>
          <w:p w14:paraId="69DA0742">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实际完成率</w:t>
            </w:r>
          </w:p>
        </w:tc>
        <w:tc>
          <w:tcPr>
            <w:tcW w:w="680" w:type="pct"/>
            <w:shd w:val="clear" w:color="000000" w:fill="FFFFFF"/>
            <w:vAlign w:val="center"/>
          </w:tcPr>
          <w:p w14:paraId="403386B2">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项目实施的实际产出数与计划产出数的比率，用以反映和考核项目产出数量目标的实现程度。</w:t>
            </w:r>
          </w:p>
        </w:tc>
        <w:tc>
          <w:tcPr>
            <w:tcW w:w="2055" w:type="pct"/>
            <w:shd w:val="clear" w:color="000000" w:fill="FFFFFF"/>
            <w:vAlign w:val="center"/>
          </w:tcPr>
          <w:p w14:paraId="1E6A1D95">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实际完成率=（实际产出数/计划产出数）×100%。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015D0754">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000000" w:fill="FFFFFF"/>
            <w:vAlign w:val="center"/>
          </w:tcPr>
          <w:p w14:paraId="3ACC8985">
            <w:pPr>
              <w:widowControl/>
              <w:spacing w:line="0" w:lineRule="atLeast"/>
              <w:jc w:val="center"/>
              <w:rPr>
                <w:rFonts w:hint="default" w:ascii="Times New Roman" w:hAnsi="Times New Roman" w:eastAsia="仿宋_GB2312" w:cs="Times New Roman"/>
                <w:b/>
                <w:bCs/>
                <w:color w:val="auto"/>
                <w:kern w:val="0"/>
                <w:sz w:val="18"/>
                <w:szCs w:val="18"/>
                <w:lang w:val="en-US" w:eastAsia="zh-CN"/>
              </w:rPr>
            </w:pPr>
            <w:r>
              <w:rPr>
                <w:rFonts w:hint="eastAsia" w:ascii="Times New Roman" w:hAnsi="Times New Roman" w:eastAsia="仿宋_GB2312" w:cs="Times New Roman"/>
                <w:b/>
                <w:bCs/>
                <w:color w:val="auto"/>
                <w:kern w:val="0"/>
                <w:sz w:val="18"/>
                <w:szCs w:val="18"/>
                <w:lang w:val="en-US" w:eastAsia="zh-CN"/>
              </w:rPr>
              <w:t>10</w:t>
            </w:r>
          </w:p>
        </w:tc>
      </w:tr>
      <w:tr w14:paraId="1B23CB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1F2ED689">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shd w:val="clear" w:color="auto" w:fill="FFFFFF"/>
            <w:vAlign w:val="center"/>
          </w:tcPr>
          <w:p w14:paraId="560FA8FE">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产出质量</w:t>
            </w:r>
          </w:p>
        </w:tc>
        <w:tc>
          <w:tcPr>
            <w:tcW w:w="422" w:type="pct"/>
            <w:shd w:val="clear" w:color="auto" w:fill="FFFFFF"/>
            <w:vAlign w:val="center"/>
          </w:tcPr>
          <w:p w14:paraId="35EDCEB6">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质量达标率</w:t>
            </w:r>
          </w:p>
        </w:tc>
        <w:tc>
          <w:tcPr>
            <w:tcW w:w="680" w:type="pct"/>
            <w:shd w:val="clear" w:color="000000" w:fill="FFFFFF"/>
            <w:vAlign w:val="center"/>
          </w:tcPr>
          <w:p w14:paraId="44041DA3">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14:paraId="3EE542FF">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质量达标率=（质量达标产出数/实际产出数）×100%。</w:t>
            </w:r>
          </w:p>
          <w:p w14:paraId="12A8DA3C">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77A67F1A">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000000" w:fill="FFFFFF"/>
            <w:vAlign w:val="center"/>
          </w:tcPr>
          <w:p w14:paraId="7688FAD5">
            <w:pPr>
              <w:widowControl/>
              <w:spacing w:line="0" w:lineRule="atLeast"/>
              <w:jc w:val="center"/>
              <w:rPr>
                <w:rFonts w:hint="default" w:ascii="Times New Roman" w:hAnsi="Times New Roman" w:eastAsia="仿宋_GB2312" w:cs="Times New Roman"/>
                <w:b/>
                <w:bCs/>
                <w:color w:val="auto"/>
                <w:kern w:val="0"/>
                <w:sz w:val="18"/>
                <w:szCs w:val="18"/>
                <w:lang w:val="en-US" w:eastAsia="zh-CN"/>
              </w:rPr>
            </w:pPr>
            <w:r>
              <w:rPr>
                <w:rFonts w:hint="eastAsia" w:ascii="Times New Roman" w:hAnsi="Times New Roman" w:eastAsia="仿宋_GB2312" w:cs="Times New Roman"/>
                <w:b/>
                <w:bCs/>
                <w:color w:val="auto"/>
                <w:kern w:val="0"/>
                <w:sz w:val="18"/>
                <w:szCs w:val="18"/>
                <w:lang w:val="en-US" w:eastAsia="zh-CN"/>
              </w:rPr>
              <w:t>10</w:t>
            </w:r>
          </w:p>
        </w:tc>
      </w:tr>
      <w:tr w14:paraId="32CA34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6F8713A4">
            <w:pPr>
              <w:spacing w:line="0" w:lineRule="atLeast"/>
              <w:jc w:val="center"/>
              <w:rPr>
                <w:rFonts w:hint="default" w:ascii="Times New Roman" w:hAnsi="Times New Roman" w:eastAsia="仿宋_GB2312" w:cs="Times New Roman"/>
                <w:color w:val="auto"/>
                <w:kern w:val="0"/>
                <w:sz w:val="18"/>
                <w:szCs w:val="18"/>
              </w:rPr>
            </w:pPr>
          </w:p>
        </w:tc>
        <w:tc>
          <w:tcPr>
            <w:tcW w:w="394" w:type="pct"/>
            <w:shd w:val="clear" w:color="auto" w:fill="FFFFFF"/>
            <w:vAlign w:val="center"/>
          </w:tcPr>
          <w:p w14:paraId="28FF956B">
            <w:pPr>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产出时效</w:t>
            </w:r>
          </w:p>
        </w:tc>
        <w:tc>
          <w:tcPr>
            <w:tcW w:w="422" w:type="pct"/>
            <w:shd w:val="clear" w:color="auto" w:fill="FFFFFF"/>
            <w:vAlign w:val="center"/>
          </w:tcPr>
          <w:p w14:paraId="72C33F24">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完成及时性</w:t>
            </w:r>
          </w:p>
        </w:tc>
        <w:tc>
          <w:tcPr>
            <w:tcW w:w="680" w:type="pct"/>
            <w:shd w:val="clear" w:color="000000" w:fill="FFFFFF"/>
            <w:vAlign w:val="center"/>
          </w:tcPr>
          <w:p w14:paraId="4B38FAC3">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项目实际完成时间与计划完成时间的比较，用以反映和考核项目产出时效目标的实现程度。</w:t>
            </w:r>
          </w:p>
        </w:tc>
        <w:tc>
          <w:tcPr>
            <w:tcW w:w="2055" w:type="pct"/>
            <w:shd w:val="clear" w:color="000000" w:fill="FFFFFF"/>
            <w:vAlign w:val="center"/>
          </w:tcPr>
          <w:p w14:paraId="6D323D54">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实际完成时间：项目实施单位完成该项目实际所耗用的时间。</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计划完成时间：按照项目实施计划或相关规定完成该项目所需的时间。</w:t>
            </w:r>
          </w:p>
        </w:tc>
        <w:tc>
          <w:tcPr>
            <w:tcW w:w="512" w:type="pct"/>
            <w:shd w:val="clear" w:color="000000" w:fill="FFFFFF"/>
            <w:vAlign w:val="center"/>
          </w:tcPr>
          <w:p w14:paraId="5B9896CC">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000000" w:fill="FFFFFF"/>
            <w:vAlign w:val="center"/>
          </w:tcPr>
          <w:p w14:paraId="479B4BED">
            <w:pPr>
              <w:widowControl/>
              <w:spacing w:line="0" w:lineRule="atLeast"/>
              <w:jc w:val="center"/>
              <w:rPr>
                <w:rFonts w:hint="default" w:ascii="Times New Roman" w:hAnsi="Times New Roman" w:eastAsia="仿宋_GB2312" w:cs="Times New Roman"/>
                <w:b/>
                <w:bCs/>
                <w:color w:val="auto"/>
                <w:kern w:val="0"/>
                <w:sz w:val="18"/>
                <w:szCs w:val="18"/>
                <w:lang w:val="en-US" w:eastAsia="zh-CN"/>
              </w:rPr>
            </w:pPr>
            <w:r>
              <w:rPr>
                <w:rFonts w:hint="eastAsia" w:ascii="Times New Roman" w:hAnsi="Times New Roman" w:eastAsia="仿宋_GB2312" w:cs="Times New Roman"/>
                <w:b/>
                <w:bCs/>
                <w:color w:val="auto"/>
                <w:kern w:val="0"/>
                <w:sz w:val="18"/>
                <w:szCs w:val="18"/>
                <w:lang w:val="en-US" w:eastAsia="zh-CN"/>
              </w:rPr>
              <w:t>10</w:t>
            </w:r>
          </w:p>
        </w:tc>
      </w:tr>
      <w:tr w14:paraId="156CFC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77AEA095">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shd w:val="clear" w:color="auto" w:fill="FFFFFF"/>
            <w:vAlign w:val="center"/>
          </w:tcPr>
          <w:p w14:paraId="38CBDAFC">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产出成本</w:t>
            </w:r>
          </w:p>
        </w:tc>
        <w:tc>
          <w:tcPr>
            <w:tcW w:w="422" w:type="pct"/>
            <w:shd w:val="clear" w:color="auto" w:fill="FFFFFF"/>
            <w:vAlign w:val="center"/>
          </w:tcPr>
          <w:p w14:paraId="574853F8">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成本节约率</w:t>
            </w:r>
          </w:p>
        </w:tc>
        <w:tc>
          <w:tcPr>
            <w:tcW w:w="680" w:type="pct"/>
            <w:shd w:val="clear" w:color="000000" w:fill="FFFFFF"/>
            <w:vAlign w:val="center"/>
          </w:tcPr>
          <w:p w14:paraId="39A80392">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14:paraId="2CCFA0B0">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成本节约率=[（计划成本-实际成本）/计划成本]×100%。</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实际成本：项目实施单位如期、保质、保量完成既定工作目标实际所耗费的支出。</w:t>
            </w:r>
            <w:r>
              <w:rPr>
                <w:rFonts w:hint="default" w:ascii="Times New Roman" w:hAnsi="Times New Roman" w:eastAsia="仿宋_GB2312" w:cs="Times New Roman"/>
                <w:color w:val="auto"/>
                <w:kern w:val="0"/>
                <w:sz w:val="18"/>
                <w:szCs w:val="18"/>
              </w:rPr>
              <w:br w:type="textWrapping"/>
            </w:r>
            <w:r>
              <w:rPr>
                <w:rFonts w:hint="default" w:ascii="Times New Roman" w:hAnsi="Times New Roman" w:eastAsia="仿宋_GB2312" w:cs="Times New Roman"/>
                <w:color w:val="auto"/>
                <w:kern w:val="0"/>
                <w:sz w:val="18"/>
                <w:szCs w:val="18"/>
              </w:rPr>
              <w:t>计划成本：项目实施单位为完成工作目标计划安排的支出，一般以项目预算为参考。</w:t>
            </w:r>
          </w:p>
        </w:tc>
        <w:tc>
          <w:tcPr>
            <w:tcW w:w="512" w:type="pct"/>
            <w:shd w:val="clear" w:color="000000" w:fill="FFFFFF"/>
            <w:vAlign w:val="center"/>
          </w:tcPr>
          <w:p w14:paraId="698FF3D6">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000000" w:fill="FFFFFF"/>
            <w:vAlign w:val="center"/>
          </w:tcPr>
          <w:p w14:paraId="0AB8F432">
            <w:pPr>
              <w:widowControl/>
              <w:spacing w:line="0" w:lineRule="atLeast"/>
              <w:jc w:val="center"/>
              <w:rPr>
                <w:rFonts w:hint="default" w:ascii="Times New Roman" w:hAnsi="Times New Roman" w:eastAsia="仿宋_GB2312" w:cs="Times New Roman"/>
                <w:b/>
                <w:bCs/>
                <w:color w:val="auto"/>
                <w:kern w:val="0"/>
                <w:sz w:val="18"/>
                <w:szCs w:val="18"/>
                <w:lang w:val="en-US" w:eastAsia="zh-CN"/>
              </w:rPr>
            </w:pPr>
            <w:r>
              <w:rPr>
                <w:rFonts w:hint="eastAsia" w:ascii="Times New Roman" w:hAnsi="Times New Roman" w:eastAsia="仿宋_GB2312" w:cs="Times New Roman"/>
                <w:b/>
                <w:bCs/>
                <w:color w:val="auto"/>
                <w:kern w:val="0"/>
                <w:sz w:val="18"/>
                <w:szCs w:val="18"/>
                <w:lang w:val="en-US" w:eastAsia="zh-CN"/>
              </w:rPr>
              <w:t>10</w:t>
            </w:r>
          </w:p>
        </w:tc>
      </w:tr>
      <w:tr w14:paraId="0663B7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0E2DA3D5">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效益　</w:t>
            </w:r>
          </w:p>
        </w:tc>
        <w:tc>
          <w:tcPr>
            <w:tcW w:w="394" w:type="pct"/>
            <w:vMerge w:val="restart"/>
            <w:shd w:val="clear" w:color="auto" w:fill="FFFFFF"/>
            <w:vAlign w:val="center"/>
          </w:tcPr>
          <w:p w14:paraId="4278C5AA">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项目效益　</w:t>
            </w:r>
          </w:p>
        </w:tc>
        <w:tc>
          <w:tcPr>
            <w:tcW w:w="422" w:type="pct"/>
            <w:shd w:val="clear" w:color="auto" w:fill="FFFFFF"/>
            <w:vAlign w:val="center"/>
          </w:tcPr>
          <w:p w14:paraId="4726ECAB">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实施效益</w:t>
            </w:r>
          </w:p>
        </w:tc>
        <w:tc>
          <w:tcPr>
            <w:tcW w:w="680" w:type="pct"/>
            <w:shd w:val="clear" w:color="auto" w:fill="FFFFFF"/>
            <w:vAlign w:val="center"/>
          </w:tcPr>
          <w:p w14:paraId="10A42391">
            <w:pPr>
              <w:widowControl/>
              <w:spacing w:line="0" w:lineRule="atLeast"/>
              <w:jc w:val="lef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项目实施所产生的效益。</w:t>
            </w:r>
          </w:p>
        </w:tc>
        <w:tc>
          <w:tcPr>
            <w:tcW w:w="2055" w:type="pct"/>
            <w:shd w:val="clear" w:color="auto" w:fill="FFFFFF"/>
            <w:vAlign w:val="center"/>
          </w:tcPr>
          <w:p w14:paraId="11019AFC">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7B372221">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auto" w:fill="FFFFFF"/>
            <w:vAlign w:val="center"/>
          </w:tcPr>
          <w:p w14:paraId="6B5F52B5">
            <w:pPr>
              <w:widowControl/>
              <w:spacing w:line="0" w:lineRule="atLeast"/>
              <w:jc w:val="center"/>
              <w:rPr>
                <w:rFonts w:hint="default" w:ascii="Times New Roman" w:hAnsi="Times New Roman" w:eastAsia="仿宋_GB2312" w:cs="Times New Roman"/>
                <w:b/>
                <w:bCs/>
                <w:color w:val="auto"/>
                <w:kern w:val="0"/>
                <w:sz w:val="18"/>
                <w:szCs w:val="18"/>
                <w:lang w:val="en-US" w:eastAsia="zh-CN"/>
              </w:rPr>
            </w:pPr>
            <w:r>
              <w:rPr>
                <w:rFonts w:hint="eastAsia" w:ascii="Times New Roman" w:hAnsi="Times New Roman" w:eastAsia="仿宋_GB2312" w:cs="Times New Roman"/>
                <w:b/>
                <w:bCs/>
                <w:color w:val="auto"/>
                <w:kern w:val="0"/>
                <w:sz w:val="18"/>
                <w:szCs w:val="18"/>
                <w:lang w:val="en-US" w:eastAsia="zh-CN"/>
              </w:rPr>
              <w:t>10</w:t>
            </w:r>
          </w:p>
        </w:tc>
      </w:tr>
      <w:tr w14:paraId="0F9E12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7908AEAD">
            <w:pPr>
              <w:widowControl/>
              <w:spacing w:line="0" w:lineRule="atLeast"/>
              <w:jc w:val="center"/>
              <w:rPr>
                <w:rFonts w:hint="default" w:ascii="Times New Roman" w:hAnsi="Times New Roman" w:eastAsia="仿宋_GB2312" w:cs="Times New Roman"/>
                <w:color w:val="auto"/>
                <w:kern w:val="0"/>
                <w:sz w:val="18"/>
                <w:szCs w:val="18"/>
              </w:rPr>
            </w:pPr>
          </w:p>
        </w:tc>
        <w:tc>
          <w:tcPr>
            <w:tcW w:w="394" w:type="pct"/>
            <w:vMerge w:val="continue"/>
            <w:shd w:val="clear" w:color="auto" w:fill="FFFFFF"/>
            <w:vAlign w:val="center"/>
          </w:tcPr>
          <w:p w14:paraId="7159D92C">
            <w:pPr>
              <w:widowControl/>
              <w:spacing w:line="0" w:lineRule="atLeast"/>
              <w:jc w:val="center"/>
              <w:rPr>
                <w:rFonts w:hint="default" w:ascii="Times New Roman" w:hAnsi="Times New Roman" w:eastAsia="仿宋_GB2312" w:cs="Times New Roman"/>
                <w:color w:val="auto"/>
                <w:kern w:val="0"/>
                <w:sz w:val="18"/>
                <w:szCs w:val="18"/>
              </w:rPr>
            </w:pPr>
          </w:p>
        </w:tc>
        <w:tc>
          <w:tcPr>
            <w:tcW w:w="422" w:type="pct"/>
            <w:shd w:val="clear" w:color="auto" w:fill="FFFFFF"/>
            <w:vAlign w:val="center"/>
          </w:tcPr>
          <w:p w14:paraId="6CD9CF4B">
            <w:pPr>
              <w:widowControl/>
              <w:spacing w:line="0" w:lineRule="atLeast"/>
              <w:jc w:val="center"/>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满意度</w:t>
            </w:r>
          </w:p>
        </w:tc>
        <w:tc>
          <w:tcPr>
            <w:tcW w:w="680" w:type="pct"/>
            <w:shd w:val="clear" w:color="000000" w:fill="FFFFFF"/>
            <w:vAlign w:val="center"/>
          </w:tcPr>
          <w:p w14:paraId="0E2DEF77">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社会公众或服务对象对项目实施效果的满意程度。</w:t>
            </w:r>
          </w:p>
        </w:tc>
        <w:tc>
          <w:tcPr>
            <w:tcW w:w="2055" w:type="pct"/>
            <w:shd w:val="clear" w:color="000000" w:fill="FFFFFF"/>
            <w:vAlign w:val="center"/>
          </w:tcPr>
          <w:p w14:paraId="2682040C">
            <w:pPr>
              <w:widowControl/>
              <w:spacing w:line="0" w:lineRule="atLeast"/>
              <w:rPr>
                <w:rFonts w:hint="default" w:ascii="Times New Roman" w:hAnsi="Times New Roman" w:eastAsia="仿宋_GB2312" w:cs="Times New Roman"/>
                <w:color w:val="auto"/>
                <w:kern w:val="0"/>
                <w:sz w:val="18"/>
                <w:szCs w:val="18"/>
              </w:rPr>
            </w:pPr>
            <w:r>
              <w:rPr>
                <w:rFonts w:hint="default" w:ascii="Times New Roman" w:hAnsi="Times New Roman" w:eastAsia="仿宋_GB2312" w:cs="Times New Roman"/>
                <w:color w:val="auto"/>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3CF4C80F">
            <w:pPr>
              <w:widowControl/>
              <w:spacing w:line="0" w:lineRule="atLeast"/>
              <w:jc w:val="center"/>
              <w:rPr>
                <w:rFonts w:hint="default" w:ascii="Times New Roman" w:hAnsi="Times New Roman" w:eastAsia="仿宋_GB2312" w:cs="Times New Roman"/>
                <w:b/>
                <w:bCs/>
                <w:color w:val="auto"/>
                <w:kern w:val="0"/>
                <w:sz w:val="18"/>
                <w:szCs w:val="18"/>
              </w:rPr>
            </w:pPr>
            <w:r>
              <w:rPr>
                <w:rFonts w:hint="default" w:ascii="Times New Roman" w:hAnsi="Times New Roman" w:eastAsia="仿宋_GB2312" w:cs="Times New Roman"/>
                <w:b/>
                <w:bCs/>
                <w:color w:val="auto"/>
                <w:kern w:val="0"/>
                <w:sz w:val="18"/>
                <w:szCs w:val="18"/>
              </w:rPr>
              <w:t>10</w:t>
            </w:r>
          </w:p>
        </w:tc>
        <w:tc>
          <w:tcPr>
            <w:tcW w:w="538" w:type="pct"/>
            <w:shd w:val="clear" w:color="000000" w:fill="FFFFFF"/>
            <w:vAlign w:val="center"/>
          </w:tcPr>
          <w:p w14:paraId="0898B750">
            <w:pPr>
              <w:widowControl/>
              <w:spacing w:line="0" w:lineRule="atLeast"/>
              <w:jc w:val="center"/>
              <w:rPr>
                <w:rFonts w:hint="default" w:ascii="Times New Roman" w:hAnsi="Times New Roman" w:eastAsia="仿宋_GB2312" w:cs="Times New Roman"/>
                <w:b/>
                <w:bCs/>
                <w:color w:val="auto"/>
                <w:kern w:val="0"/>
                <w:sz w:val="18"/>
                <w:szCs w:val="18"/>
                <w:lang w:val="en-US" w:eastAsia="zh-CN"/>
              </w:rPr>
            </w:pPr>
            <w:r>
              <w:rPr>
                <w:rFonts w:hint="eastAsia" w:ascii="Times New Roman" w:hAnsi="Times New Roman" w:eastAsia="仿宋_GB2312" w:cs="Times New Roman"/>
                <w:b/>
                <w:bCs/>
                <w:color w:val="auto"/>
                <w:kern w:val="0"/>
                <w:sz w:val="18"/>
                <w:szCs w:val="18"/>
                <w:lang w:val="en-US" w:eastAsia="zh-CN"/>
              </w:rPr>
              <w:t>10</w:t>
            </w:r>
          </w:p>
        </w:tc>
      </w:tr>
    </w:tbl>
    <w:p w14:paraId="4032E485">
      <w:pPr>
        <w:rPr>
          <w:rFonts w:hint="default" w:ascii="Times New Roman" w:hAnsi="Times New Roman" w:cs="Times New Roman"/>
          <w:color w:val="auto"/>
        </w:rPr>
        <w:sectPr>
          <w:pgSz w:w="16838" w:h="11906" w:orient="landscape"/>
          <w:pgMar w:top="1800" w:right="1440" w:bottom="1558" w:left="1440" w:header="851" w:footer="992" w:gutter="0"/>
          <w:cols w:space="425" w:num="1"/>
          <w:docGrid w:type="lines" w:linePitch="312" w:charSpace="0"/>
        </w:sectPr>
      </w:pPr>
    </w:p>
    <w:p w14:paraId="4B4D61B8">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auto"/>
          <w:kern w:val="0"/>
          <w:sz w:val="32"/>
          <w:szCs w:val="32"/>
          <w:u w:val="none"/>
          <w:lang w:val="en-US" w:eastAsia="zh-CN" w:bidi="ar"/>
        </w:rPr>
      </w:pPr>
      <w:r>
        <w:rPr>
          <w:rFonts w:hint="eastAsia" w:ascii="黑体" w:hAnsi="黑体" w:eastAsia="黑体" w:cs="黑体"/>
          <w:b/>
          <w:bCs/>
          <w:i w:val="0"/>
          <w:iCs w:val="0"/>
          <w:color w:val="auto"/>
          <w:kern w:val="0"/>
          <w:sz w:val="32"/>
          <w:szCs w:val="32"/>
          <w:u w:val="none"/>
          <w:lang w:val="en-US" w:eastAsia="zh-CN" w:bidi="ar"/>
        </w:rPr>
        <w:t>附件2</w:t>
      </w:r>
    </w:p>
    <w:p w14:paraId="71C7B46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u w:val="none"/>
          <w:lang w:val="en-US" w:eastAsia="zh-CN" w:bidi="ar"/>
        </w:rPr>
      </w:pPr>
      <w:r>
        <w:rPr>
          <w:rFonts w:hint="eastAsia" w:ascii="仿宋_GB2312" w:hAnsi="仿宋_GB2312" w:eastAsia="仿宋_GB2312" w:cs="仿宋_GB2312"/>
          <w:b/>
          <w:bCs/>
          <w:i w:val="0"/>
          <w:iCs w:val="0"/>
          <w:color w:val="auto"/>
          <w:kern w:val="0"/>
          <w:sz w:val="28"/>
          <w:szCs w:val="28"/>
          <w:u w:val="none"/>
          <w:lang w:val="en-US" w:eastAsia="zh-CN" w:bidi="ar"/>
        </w:rPr>
        <w:t>项目支出绩效自评表</w:t>
      </w:r>
    </w:p>
    <w:p w14:paraId="2B977EF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u w:val="none"/>
          <w:lang w:val="en-US" w:eastAsia="zh-CN" w:bidi="ar"/>
        </w:rPr>
      </w:pPr>
      <w:r>
        <w:rPr>
          <w:rFonts w:hint="default" w:ascii="Times New Roman" w:hAnsi="Times New Roman" w:eastAsia="仿宋_GB2312" w:cs="Times New Roman"/>
          <w:b/>
          <w:bCs/>
          <w:i w:val="0"/>
          <w:iCs w:val="0"/>
          <w:color w:val="auto"/>
          <w:kern w:val="0"/>
          <w:sz w:val="22"/>
          <w:szCs w:val="22"/>
          <w:u w:val="none"/>
          <w:lang w:val="en-US" w:eastAsia="zh-CN" w:bidi="ar"/>
        </w:rPr>
        <w:t>（ 2024年度）</w:t>
      </w:r>
    </w:p>
    <w:tbl>
      <w:tblPr>
        <w:tblStyle w:val="16"/>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3"/>
        <w:gridCol w:w="585"/>
        <w:gridCol w:w="583"/>
        <w:gridCol w:w="1319"/>
        <w:gridCol w:w="934"/>
        <w:gridCol w:w="1026"/>
        <w:gridCol w:w="937"/>
        <w:gridCol w:w="934"/>
        <w:gridCol w:w="934"/>
        <w:gridCol w:w="935"/>
        <w:gridCol w:w="935"/>
        <w:gridCol w:w="1125"/>
        <w:gridCol w:w="1000"/>
        <w:gridCol w:w="2341"/>
      </w:tblGrid>
      <w:tr w14:paraId="19E8E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600D2C">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项目名称</w:t>
            </w:r>
          </w:p>
        </w:tc>
        <w:tc>
          <w:tcPr>
            <w:tcW w:w="4582"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28EB1F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2024年西部区域无线电监测控制中心改造和功能提升项目</w:t>
            </w:r>
          </w:p>
        </w:tc>
      </w:tr>
      <w:tr w14:paraId="2BF1C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2A96D0">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F229E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新疆维吾尔自治区工业和信息化厅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5019D3">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实施单位</w:t>
            </w:r>
          </w:p>
        </w:tc>
        <w:tc>
          <w:tcPr>
            <w:tcW w:w="224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61CE0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新疆维吾尔自治区工业和信息化厅</w:t>
            </w:r>
          </w:p>
        </w:tc>
      </w:tr>
      <w:tr w14:paraId="69B52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7"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D713A4">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项目资金</w:t>
            </w:r>
            <w:r>
              <w:rPr>
                <w:rFonts w:hint="eastAsia" w:ascii="宋体" w:hAnsi="宋体" w:eastAsia="宋体" w:cs="宋体"/>
                <w:b/>
                <w:bCs/>
                <w:i w:val="0"/>
                <w:iCs w:val="0"/>
                <w:color w:val="auto"/>
                <w:kern w:val="0"/>
                <w:sz w:val="18"/>
                <w:szCs w:val="18"/>
                <w:u w:val="none"/>
                <w:lang w:val="en-US" w:eastAsia="zh-CN" w:bidi="ar"/>
              </w:rPr>
              <w:br w:type="textWrapping"/>
            </w:r>
            <w:r>
              <w:rPr>
                <w:rFonts w:hint="eastAsia" w:ascii="宋体" w:hAnsi="宋体" w:eastAsia="宋体" w:cs="宋体"/>
                <w:b/>
                <w:bCs/>
                <w:i w:val="0"/>
                <w:iCs w:val="0"/>
                <w:color w:val="auto"/>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746F42">
            <w:pPr>
              <w:jc w:val="center"/>
              <w:rPr>
                <w:rFonts w:hint="eastAsia" w:ascii="宋体" w:hAnsi="宋体" w:eastAsia="宋体" w:cs="宋体"/>
                <w:b/>
                <w:bCs/>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2327F">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7B8617">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AFB694">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D5F011">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EC8FD8">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执行率</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20F1A">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得分</w:t>
            </w:r>
          </w:p>
        </w:tc>
      </w:tr>
      <w:tr w14:paraId="7372E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B07A9">
            <w:pPr>
              <w:jc w:val="center"/>
              <w:rPr>
                <w:rFonts w:hint="eastAsia" w:ascii="宋体" w:hAnsi="宋体" w:eastAsia="宋体" w:cs="宋体"/>
                <w:b/>
                <w:bCs/>
                <w:i w:val="0"/>
                <w:iCs w:val="0"/>
                <w:color w:val="auto"/>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F61336">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B636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194.40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C375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194.40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AB4E2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188.32</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A7614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9.69</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E252D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96.87%</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3FEE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9.69</w:t>
            </w:r>
          </w:p>
        </w:tc>
      </w:tr>
      <w:tr w14:paraId="3AD04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8938D">
            <w:pPr>
              <w:jc w:val="center"/>
              <w:rPr>
                <w:rFonts w:hint="eastAsia" w:ascii="宋体" w:hAnsi="宋体" w:eastAsia="宋体" w:cs="宋体"/>
                <w:b/>
                <w:bCs/>
                <w:i w:val="0"/>
                <w:iCs w:val="0"/>
                <w:color w:val="auto"/>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85383F">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D38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07F3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0DB5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0D7A1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032DF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8335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r>
      <w:tr w14:paraId="5A077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7"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39890">
            <w:pPr>
              <w:jc w:val="center"/>
              <w:rPr>
                <w:rFonts w:hint="eastAsia" w:ascii="宋体" w:hAnsi="宋体" w:eastAsia="宋体" w:cs="宋体"/>
                <w:b/>
                <w:bCs/>
                <w:i w:val="0"/>
                <w:iCs w:val="0"/>
                <w:color w:val="auto"/>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7AB5F3">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233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194.40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33D3E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194.40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A48C8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188.32</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F888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B9221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0DB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r>
      <w:tr w14:paraId="70295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C53100">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年度总体目标</w:t>
            </w: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C516A1B">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预期目标</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8C62FA0">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实际完成情况</w:t>
            </w:r>
          </w:p>
        </w:tc>
      </w:tr>
      <w:tr w14:paraId="1F5B6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6E75F">
            <w:pPr>
              <w:jc w:val="center"/>
              <w:rPr>
                <w:rFonts w:hint="eastAsia" w:ascii="宋体" w:hAnsi="宋体" w:eastAsia="宋体" w:cs="宋体"/>
                <w:b/>
                <w:bCs/>
                <w:i w:val="0"/>
                <w:iCs w:val="0"/>
                <w:color w:val="auto"/>
                <w:sz w:val="18"/>
                <w:szCs w:val="18"/>
                <w:u w:val="none"/>
              </w:rPr>
            </w:pPr>
          </w:p>
        </w:tc>
        <w:tc>
          <w:tcPr>
            <w:tcW w:w="18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01C68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1.完成西部区域无线电监测控制中心改造项目；</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2.完成西部区域无线电监测控制中心基础功能提升和设施改造项目；</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3.完成西部区域无线电监测控制中心无线电校准测试场业务用房及转台道路改造项目；</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4.完成无线电安全保障监测实训基地应用与管理展厅增加消防及展品配套工程项目。</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1056BA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已完成西部区域无线电监测控制中心改造项目； 已完成西部区域无线电监测控制中心基础功能提升和设施改造项目； 已完成西部区域无线电监测控制中心无线电校准测试场业务用房及转台道路改造项目； 已完成无线电安全保障监测实训基地应用与管理展厅增加消防及展品配套工程项目</w:t>
            </w:r>
          </w:p>
        </w:tc>
      </w:tr>
      <w:tr w14:paraId="534CF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D2646C">
            <w:pPr>
              <w:jc w:val="center"/>
              <w:rPr>
                <w:rFonts w:hint="eastAsia" w:ascii="宋体" w:hAnsi="宋体" w:eastAsia="宋体" w:cs="宋体"/>
                <w:i w:val="0"/>
                <w:iCs w:val="0"/>
                <w:color w:val="auto"/>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E8FC1A">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132197">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D4EE51">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6CB439">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0BAAB9">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FB07DF">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C177F7">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8D0966">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A363C8">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52C691">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4B2A76">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1C6B94">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佐证资料</w:t>
            </w: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82C64">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偏差原因分析及改进措施</w:t>
            </w:r>
          </w:p>
        </w:tc>
      </w:tr>
      <w:tr w14:paraId="299A1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502E9">
            <w:pPr>
              <w:jc w:val="center"/>
              <w:rPr>
                <w:rFonts w:hint="eastAsia" w:ascii="宋体" w:hAnsi="宋体" w:eastAsia="宋体" w:cs="宋体"/>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E8303">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4BCDD">
            <w:pPr>
              <w:jc w:val="center"/>
              <w:rPr>
                <w:rFonts w:hint="eastAsia" w:ascii="宋体" w:hAnsi="宋体" w:eastAsia="宋体" w:cs="宋体"/>
                <w:b/>
                <w:bCs/>
                <w:i w:val="0"/>
                <w:iCs w:val="0"/>
                <w:color w:val="auto"/>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F207D">
            <w:pPr>
              <w:jc w:val="center"/>
              <w:rPr>
                <w:rFonts w:hint="eastAsia" w:ascii="宋体" w:hAnsi="宋体" w:eastAsia="宋体" w:cs="宋体"/>
                <w:b/>
                <w:bCs/>
                <w:i w:val="0"/>
                <w:iCs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C4BC2">
            <w:pPr>
              <w:jc w:val="center"/>
              <w:rPr>
                <w:rFonts w:hint="eastAsia" w:ascii="宋体" w:hAnsi="宋体" w:eastAsia="宋体" w:cs="宋体"/>
                <w:b/>
                <w:bCs/>
                <w:i w:val="0"/>
                <w:iCs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BB143">
            <w:pPr>
              <w:jc w:val="center"/>
              <w:rPr>
                <w:rFonts w:hint="eastAsia" w:ascii="宋体" w:hAnsi="宋体" w:eastAsia="宋体" w:cs="宋体"/>
                <w:b/>
                <w:bCs/>
                <w:i w:val="0"/>
                <w:iCs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B8325">
            <w:pPr>
              <w:jc w:val="center"/>
              <w:rPr>
                <w:rFonts w:hint="eastAsia" w:ascii="宋体" w:hAnsi="宋体" w:eastAsia="宋体" w:cs="宋体"/>
                <w:b/>
                <w:bCs/>
                <w:i w:val="0"/>
                <w:iCs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9E84E">
            <w:pPr>
              <w:jc w:val="center"/>
              <w:rPr>
                <w:rFonts w:hint="eastAsia" w:ascii="宋体" w:hAnsi="宋体" w:eastAsia="宋体" w:cs="宋体"/>
                <w:b/>
                <w:bCs/>
                <w:i w:val="0"/>
                <w:iCs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0930D">
            <w:pPr>
              <w:jc w:val="center"/>
              <w:rPr>
                <w:rFonts w:hint="eastAsia" w:ascii="宋体" w:hAnsi="宋体" w:eastAsia="宋体" w:cs="宋体"/>
                <w:b/>
                <w:bCs/>
                <w:i w:val="0"/>
                <w:iCs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85D3B">
            <w:pPr>
              <w:jc w:val="center"/>
              <w:rPr>
                <w:rFonts w:hint="eastAsia" w:ascii="宋体" w:hAnsi="宋体" w:eastAsia="宋体" w:cs="宋体"/>
                <w:b/>
                <w:bCs/>
                <w:i w:val="0"/>
                <w:iCs w:val="0"/>
                <w:color w:val="auto"/>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271A8">
            <w:pPr>
              <w:jc w:val="center"/>
              <w:rPr>
                <w:rFonts w:hint="eastAsia" w:ascii="宋体" w:hAnsi="宋体" w:eastAsia="宋体" w:cs="宋体"/>
                <w:b/>
                <w:bCs/>
                <w:i w:val="0"/>
                <w:iCs w:val="0"/>
                <w:color w:val="auto"/>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DDA08">
            <w:pPr>
              <w:jc w:val="center"/>
              <w:rPr>
                <w:rFonts w:hint="eastAsia" w:ascii="宋体" w:hAnsi="宋体" w:eastAsia="宋体" w:cs="宋体"/>
                <w:b/>
                <w:bCs/>
                <w:i w:val="0"/>
                <w:iCs w:val="0"/>
                <w:color w:val="auto"/>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3D994">
            <w:pPr>
              <w:jc w:val="center"/>
              <w:rPr>
                <w:rFonts w:hint="eastAsia" w:ascii="宋体" w:hAnsi="宋体" w:eastAsia="宋体" w:cs="宋体"/>
                <w:b/>
                <w:bCs/>
                <w:i w:val="0"/>
                <w:iCs w:val="0"/>
                <w:color w:val="auto"/>
                <w:sz w:val="18"/>
                <w:szCs w:val="18"/>
                <w:u w:val="none"/>
              </w:rPr>
            </w:pP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9218B">
            <w:pPr>
              <w:jc w:val="center"/>
              <w:rPr>
                <w:rFonts w:hint="eastAsia" w:ascii="宋体" w:hAnsi="宋体" w:eastAsia="宋体" w:cs="宋体"/>
                <w:b/>
                <w:bCs/>
                <w:i w:val="0"/>
                <w:iCs w:val="0"/>
                <w:color w:val="auto"/>
                <w:sz w:val="18"/>
                <w:szCs w:val="18"/>
                <w:u w:val="none"/>
              </w:rPr>
            </w:pPr>
          </w:p>
        </w:tc>
      </w:tr>
      <w:tr w14:paraId="57EAA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47B442">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7CA0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9FE9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182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业务用房改造工程面积</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D89D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F04C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&lt;=1662.32平方</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840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=1662.32平方</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9539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B41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27A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BD7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3B23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F542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3F35F">
            <w:pPr>
              <w:jc w:val="center"/>
              <w:rPr>
                <w:rFonts w:hint="eastAsia" w:ascii="宋体" w:hAnsi="宋体" w:eastAsia="宋体" w:cs="宋体"/>
                <w:i w:val="0"/>
                <w:iCs w:val="0"/>
                <w:color w:val="auto"/>
                <w:sz w:val="18"/>
                <w:szCs w:val="18"/>
                <w:u w:val="none"/>
              </w:rPr>
            </w:pPr>
          </w:p>
        </w:tc>
      </w:tr>
      <w:tr w14:paraId="42564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49499">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5C53E">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CE2C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44A7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供热改造工程面积</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5135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3E16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&gt;=3200平方米</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B070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=3200平方米</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4A45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266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2CA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5CED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5C4C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C924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962C0">
            <w:pPr>
              <w:jc w:val="center"/>
              <w:rPr>
                <w:rFonts w:hint="eastAsia" w:ascii="宋体" w:hAnsi="宋体" w:eastAsia="宋体" w:cs="宋体"/>
                <w:i w:val="0"/>
                <w:iCs w:val="0"/>
                <w:color w:val="auto"/>
                <w:sz w:val="18"/>
                <w:szCs w:val="18"/>
                <w:u w:val="none"/>
              </w:rPr>
            </w:pPr>
          </w:p>
        </w:tc>
      </w:tr>
      <w:tr w14:paraId="39FFB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F1D15">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C5C59">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89E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44DB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供热系统改造</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A6D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969D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&gt;=20个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45F8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05F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D7B8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FFC0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87E7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07F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8B7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2666B">
            <w:pPr>
              <w:jc w:val="center"/>
              <w:rPr>
                <w:rFonts w:hint="eastAsia" w:ascii="宋体" w:hAnsi="宋体" w:eastAsia="宋体" w:cs="宋体"/>
                <w:i w:val="0"/>
                <w:iCs w:val="0"/>
                <w:color w:val="auto"/>
                <w:sz w:val="18"/>
                <w:szCs w:val="18"/>
                <w:u w:val="none"/>
              </w:rPr>
            </w:pPr>
          </w:p>
        </w:tc>
      </w:tr>
      <w:tr w14:paraId="56E94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C6E7E">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EC194">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A94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B08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业务用房装修改造工程验收合格率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4AD3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8BB0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4CD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4E2D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C5D6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8B5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7E7B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4583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AAF0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84F88">
            <w:pPr>
              <w:jc w:val="center"/>
              <w:rPr>
                <w:rFonts w:hint="eastAsia" w:ascii="宋体" w:hAnsi="宋体" w:eastAsia="宋体" w:cs="宋体"/>
                <w:i w:val="0"/>
                <w:iCs w:val="0"/>
                <w:color w:val="auto"/>
                <w:sz w:val="18"/>
                <w:szCs w:val="18"/>
                <w:u w:val="none"/>
              </w:rPr>
            </w:pPr>
          </w:p>
        </w:tc>
      </w:tr>
      <w:tr w14:paraId="567F8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788F4">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12DB4">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C796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691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展厅验收合格率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8B16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0329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A12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52BF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17E3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4A0A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352E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051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4D30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42734">
            <w:pPr>
              <w:jc w:val="center"/>
              <w:rPr>
                <w:rFonts w:hint="eastAsia" w:ascii="宋体" w:hAnsi="宋体" w:eastAsia="宋体" w:cs="宋体"/>
                <w:i w:val="0"/>
                <w:iCs w:val="0"/>
                <w:color w:val="auto"/>
                <w:sz w:val="18"/>
                <w:szCs w:val="18"/>
                <w:u w:val="none"/>
              </w:rPr>
            </w:pPr>
          </w:p>
        </w:tc>
      </w:tr>
      <w:tr w14:paraId="25465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8542B">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31CC1">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6E3F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C640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设备质量合格率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E2FA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21DD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4A82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E6E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77BE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F57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9867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E18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FFA3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4C40C">
            <w:pPr>
              <w:jc w:val="center"/>
              <w:rPr>
                <w:rFonts w:hint="eastAsia" w:ascii="宋体" w:hAnsi="宋体" w:eastAsia="宋体" w:cs="宋体"/>
                <w:i w:val="0"/>
                <w:iCs w:val="0"/>
                <w:color w:val="auto"/>
                <w:sz w:val="18"/>
                <w:szCs w:val="18"/>
                <w:u w:val="none"/>
              </w:rPr>
            </w:pPr>
          </w:p>
        </w:tc>
      </w:tr>
      <w:tr w14:paraId="2D79F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807953">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A07A6">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6B0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841B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西部区域无线电监测控制中心无线电校准测试场业务用房及转台道路改造项目完工时间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FC10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A98B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&lt;=10个月</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C86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=10个月</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EA12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B35B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4038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A59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F4DA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5A7C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EB4BD">
            <w:pPr>
              <w:jc w:val="center"/>
              <w:rPr>
                <w:rFonts w:hint="eastAsia" w:ascii="宋体" w:hAnsi="宋体" w:eastAsia="宋体" w:cs="宋体"/>
                <w:i w:val="0"/>
                <w:iCs w:val="0"/>
                <w:color w:val="auto"/>
                <w:sz w:val="18"/>
                <w:szCs w:val="18"/>
                <w:u w:val="none"/>
              </w:rPr>
            </w:pPr>
          </w:p>
        </w:tc>
      </w:tr>
      <w:tr w14:paraId="2970D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C3D64">
            <w:pPr>
              <w:jc w:val="center"/>
              <w:rPr>
                <w:rFonts w:hint="eastAsia" w:ascii="宋体" w:hAnsi="宋体" w:eastAsia="宋体" w:cs="宋体"/>
                <w:b/>
                <w:bCs/>
                <w:i w:val="0"/>
                <w:iCs w:val="0"/>
                <w:color w:val="auto"/>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EE95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4A0B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2468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西部区域无线电监测控制中心改造项目</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C2D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CFA8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&lt;=52.8万元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C933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=52.73万元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1258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99.87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5FF4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4.98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48CE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685E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F55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3903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87F4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根据工程验收后的决算价支付</w:t>
            </w:r>
          </w:p>
        </w:tc>
      </w:tr>
      <w:tr w14:paraId="5D2BC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25B1C">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B445D">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498C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BAE1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西部区域无线电监测控制中心基础功能提升和设施改造项目</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96AC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63B0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&lt;=26.4万元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096E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=26.3345万元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DB1A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99.76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2029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4.97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316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E273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3737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91A5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BF6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根据工程验收后的决算价支付</w:t>
            </w:r>
          </w:p>
        </w:tc>
      </w:tr>
      <w:tr w14:paraId="124DB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5BF3E5">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05678E">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CD1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8010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西部区域无线电监测控制中心无线电校准测试场业务用房及转台道路改造项目</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2D1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26D3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&lt;=82.5万元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CCE8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7EB4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96.97</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64BC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4.62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2096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733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CEC9C">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4FE1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AB6D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根据工程验收后的决算价支付</w:t>
            </w:r>
          </w:p>
        </w:tc>
      </w:tr>
      <w:tr w14:paraId="364BD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2686F">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B2D2C">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2B6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4430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应用与管理展厅增加消防设施及展品配套工程项目</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4F9E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37A7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&lt;=32.7万元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B270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=29.26万元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2386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89.48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42D0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3.69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E8DB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4ADC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1EBD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3725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6B85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根据工程验收后的决算价支付</w:t>
            </w:r>
          </w:p>
        </w:tc>
      </w:tr>
      <w:tr w14:paraId="3ECC0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9F074">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071EA">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ACE2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0E1B6">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055F2">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7D482">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56105">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1D1C8">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EAE28">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43D1D">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233ED">
            <w:pPr>
              <w:jc w:val="center"/>
              <w:rPr>
                <w:rFonts w:hint="eastAsia" w:ascii="宋体" w:hAnsi="宋体" w:eastAsia="宋体" w:cs="宋体"/>
                <w:i w:val="0"/>
                <w:iCs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72F21">
            <w:pPr>
              <w:jc w:val="center"/>
              <w:rPr>
                <w:rFonts w:hint="eastAsia" w:ascii="宋体" w:hAnsi="宋体" w:eastAsia="宋体" w:cs="宋体"/>
                <w:i w:val="0"/>
                <w:iCs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9BD14">
            <w:pPr>
              <w:jc w:val="center"/>
              <w:rPr>
                <w:rFonts w:hint="eastAsia" w:ascii="宋体" w:hAnsi="宋体" w:eastAsia="宋体" w:cs="宋体"/>
                <w:i w:val="0"/>
                <w:iCs w:val="0"/>
                <w:color w:val="auto"/>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3B199">
            <w:pPr>
              <w:jc w:val="center"/>
              <w:rPr>
                <w:rFonts w:hint="eastAsia" w:ascii="宋体" w:hAnsi="宋体" w:eastAsia="宋体" w:cs="宋体"/>
                <w:i w:val="0"/>
                <w:iCs w:val="0"/>
                <w:color w:val="auto"/>
                <w:sz w:val="18"/>
                <w:szCs w:val="18"/>
                <w:u w:val="none"/>
              </w:rPr>
            </w:pPr>
          </w:p>
        </w:tc>
      </w:tr>
      <w:tr w14:paraId="0F4CC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49BD2">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FC1D8">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E2E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BC5CB">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334DB">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3BB21">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A6645">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CF5C5">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B9026">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E09A5">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F4B83">
            <w:pPr>
              <w:jc w:val="center"/>
              <w:rPr>
                <w:rFonts w:hint="eastAsia" w:ascii="宋体" w:hAnsi="宋体" w:eastAsia="宋体" w:cs="宋体"/>
                <w:i w:val="0"/>
                <w:iCs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948F3">
            <w:pPr>
              <w:jc w:val="center"/>
              <w:rPr>
                <w:rFonts w:hint="eastAsia" w:ascii="宋体" w:hAnsi="宋体" w:eastAsia="宋体" w:cs="宋体"/>
                <w:i w:val="0"/>
                <w:iCs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B6288">
            <w:pPr>
              <w:jc w:val="center"/>
              <w:rPr>
                <w:rFonts w:hint="eastAsia" w:ascii="宋体" w:hAnsi="宋体" w:eastAsia="宋体" w:cs="宋体"/>
                <w:i w:val="0"/>
                <w:iCs w:val="0"/>
                <w:color w:val="auto"/>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1EF2D">
            <w:pPr>
              <w:jc w:val="center"/>
              <w:rPr>
                <w:rFonts w:hint="eastAsia" w:ascii="宋体" w:hAnsi="宋体" w:eastAsia="宋体" w:cs="宋体"/>
                <w:i w:val="0"/>
                <w:iCs w:val="0"/>
                <w:color w:val="auto"/>
                <w:sz w:val="18"/>
                <w:szCs w:val="18"/>
                <w:u w:val="none"/>
              </w:rPr>
            </w:pPr>
          </w:p>
        </w:tc>
      </w:tr>
      <w:tr w14:paraId="54DB2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F76780">
            <w:pPr>
              <w:jc w:val="center"/>
              <w:rPr>
                <w:rFonts w:hint="eastAsia" w:ascii="宋体" w:hAnsi="宋体" w:eastAsia="宋体" w:cs="宋体"/>
                <w:b/>
                <w:bCs/>
                <w:i w:val="0"/>
                <w:iCs w:val="0"/>
                <w:color w:val="auto"/>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F7D85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6D4D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AE703">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BD323">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42FBA">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4E5DC">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E5543">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2472C">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10689">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6A433">
            <w:pPr>
              <w:jc w:val="center"/>
              <w:rPr>
                <w:rFonts w:hint="eastAsia" w:ascii="宋体" w:hAnsi="宋体" w:eastAsia="宋体" w:cs="宋体"/>
                <w:i w:val="0"/>
                <w:iCs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C6889">
            <w:pPr>
              <w:jc w:val="center"/>
              <w:rPr>
                <w:rFonts w:hint="eastAsia" w:ascii="宋体" w:hAnsi="宋体" w:eastAsia="宋体" w:cs="宋体"/>
                <w:i w:val="0"/>
                <w:iCs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D80DB">
            <w:pPr>
              <w:jc w:val="center"/>
              <w:rPr>
                <w:rFonts w:hint="eastAsia" w:ascii="宋体" w:hAnsi="宋体" w:eastAsia="宋体" w:cs="宋体"/>
                <w:i w:val="0"/>
                <w:iCs w:val="0"/>
                <w:color w:val="auto"/>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D531D">
            <w:pPr>
              <w:jc w:val="center"/>
              <w:rPr>
                <w:rFonts w:hint="eastAsia" w:ascii="宋体" w:hAnsi="宋体" w:eastAsia="宋体" w:cs="宋体"/>
                <w:i w:val="0"/>
                <w:iCs w:val="0"/>
                <w:color w:val="auto"/>
                <w:sz w:val="18"/>
                <w:szCs w:val="18"/>
                <w:u w:val="none"/>
              </w:rPr>
            </w:pPr>
          </w:p>
        </w:tc>
      </w:tr>
      <w:tr w14:paraId="6A253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755FD">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6E9FC">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BB66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EEA17">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单位正常运转率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456C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00E1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&gt;=98%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6A18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7294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BB3A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54A7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07D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79B1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8212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58FED">
            <w:pPr>
              <w:jc w:val="center"/>
              <w:rPr>
                <w:rFonts w:hint="eastAsia" w:ascii="宋体" w:hAnsi="宋体" w:eastAsia="宋体" w:cs="宋体"/>
                <w:i w:val="0"/>
                <w:iCs w:val="0"/>
                <w:color w:val="auto"/>
                <w:sz w:val="18"/>
                <w:szCs w:val="18"/>
                <w:u w:val="none"/>
              </w:rPr>
            </w:pPr>
          </w:p>
        </w:tc>
      </w:tr>
      <w:tr w14:paraId="772E5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42D99">
            <w:pPr>
              <w:jc w:val="center"/>
              <w:rPr>
                <w:rFonts w:hint="eastAsia" w:ascii="宋体" w:hAnsi="宋体" w:eastAsia="宋体" w:cs="宋体"/>
                <w:b/>
                <w:bCs/>
                <w:i w:val="0"/>
                <w:iCs w:val="0"/>
                <w:color w:val="auto"/>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A5D94">
            <w:pPr>
              <w:jc w:val="center"/>
              <w:rPr>
                <w:rFonts w:hint="eastAsia" w:ascii="宋体" w:hAnsi="宋体" w:eastAsia="宋体" w:cs="宋体"/>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A317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DF359">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2062B">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54B98">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503BE">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9B98D">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6F860">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854CE">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46520">
            <w:pPr>
              <w:jc w:val="center"/>
              <w:rPr>
                <w:rFonts w:hint="eastAsia" w:ascii="宋体" w:hAnsi="宋体" w:eastAsia="宋体" w:cs="宋体"/>
                <w:i w:val="0"/>
                <w:iCs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39709">
            <w:pPr>
              <w:jc w:val="center"/>
              <w:rPr>
                <w:rFonts w:hint="eastAsia" w:ascii="宋体" w:hAnsi="宋体" w:eastAsia="宋体" w:cs="宋体"/>
                <w:i w:val="0"/>
                <w:iCs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F716A">
            <w:pPr>
              <w:jc w:val="center"/>
              <w:rPr>
                <w:rFonts w:hint="eastAsia" w:ascii="宋体" w:hAnsi="宋体" w:eastAsia="宋体" w:cs="宋体"/>
                <w:i w:val="0"/>
                <w:iCs w:val="0"/>
                <w:color w:val="auto"/>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FBB76">
            <w:pPr>
              <w:jc w:val="center"/>
              <w:rPr>
                <w:rFonts w:hint="eastAsia" w:ascii="宋体" w:hAnsi="宋体" w:eastAsia="宋体" w:cs="宋体"/>
                <w:i w:val="0"/>
                <w:iCs w:val="0"/>
                <w:color w:val="auto"/>
                <w:sz w:val="18"/>
                <w:szCs w:val="18"/>
                <w:u w:val="none"/>
              </w:rPr>
            </w:pPr>
          </w:p>
        </w:tc>
      </w:tr>
      <w:tr w14:paraId="612C7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CBFB1">
            <w:pPr>
              <w:jc w:val="center"/>
              <w:rPr>
                <w:rFonts w:hint="eastAsia" w:ascii="宋体" w:hAnsi="宋体" w:eastAsia="宋体" w:cs="宋体"/>
                <w:b/>
                <w:bCs/>
                <w:i w:val="0"/>
                <w:iCs w:val="0"/>
                <w:color w:val="auto"/>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CBE1B">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E2A2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704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单位职工满意度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464D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F414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B2AE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27B8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8F7A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39BE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BE3F3">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6221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8D86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5556D">
            <w:pPr>
              <w:jc w:val="center"/>
              <w:rPr>
                <w:rFonts w:hint="eastAsia" w:ascii="宋体" w:hAnsi="宋体" w:eastAsia="宋体" w:cs="宋体"/>
                <w:i w:val="0"/>
                <w:iCs w:val="0"/>
                <w:color w:val="auto"/>
                <w:sz w:val="18"/>
                <w:szCs w:val="18"/>
                <w:u w:val="none"/>
              </w:rPr>
            </w:pPr>
          </w:p>
        </w:tc>
      </w:tr>
      <w:tr w14:paraId="288B5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3" w:type="pct"/>
            <w:gridSpan w:val="4"/>
            <w:tcBorders>
              <w:top w:val="single" w:color="000000" w:sz="4" w:space="0"/>
              <w:left w:val="single" w:color="000000" w:sz="4" w:space="0"/>
              <w:bottom w:val="single" w:color="000000" w:sz="4" w:space="0"/>
              <w:right w:val="nil"/>
            </w:tcBorders>
            <w:shd w:val="clear" w:color="auto" w:fill="auto"/>
            <w:vAlign w:val="center"/>
          </w:tcPr>
          <w:p w14:paraId="5624AC2E">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7AD70">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739F2B42">
            <w:pPr>
              <w:rPr>
                <w:rFonts w:hint="eastAsia" w:ascii="宋体" w:hAnsi="宋体" w:eastAsia="宋体" w:cs="宋体"/>
                <w:b/>
                <w:bCs/>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E7AEB">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967A7">
            <w:pPr>
              <w:jc w:val="cente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933F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97.95分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ADA72">
            <w:pPr>
              <w:rPr>
                <w:rFonts w:hint="eastAsia" w:ascii="宋体" w:hAnsi="宋体" w:eastAsia="宋体" w:cs="宋体"/>
                <w:i w:val="0"/>
                <w:iCs w:val="0"/>
                <w:color w:val="auto"/>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6A7F3">
            <w:pPr>
              <w:rPr>
                <w:rFonts w:hint="eastAsia" w:ascii="宋体" w:hAnsi="宋体" w:eastAsia="宋体" w:cs="宋体"/>
                <w:i w:val="0"/>
                <w:iCs w:val="0"/>
                <w:color w:val="auto"/>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F5A72">
            <w:pPr>
              <w:rPr>
                <w:rFonts w:hint="eastAsia" w:ascii="宋体" w:hAnsi="宋体" w:eastAsia="宋体" w:cs="宋体"/>
                <w:i w:val="0"/>
                <w:iCs w:val="0"/>
                <w:color w:val="auto"/>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4D4E2">
            <w:pPr>
              <w:rPr>
                <w:rFonts w:hint="eastAsia" w:ascii="宋体" w:hAnsi="宋体" w:eastAsia="宋体" w:cs="宋体"/>
                <w:i w:val="0"/>
                <w:iCs w:val="0"/>
                <w:color w:val="auto"/>
                <w:sz w:val="18"/>
                <w:szCs w:val="18"/>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2B9C5">
            <w:pPr>
              <w:rPr>
                <w:rFonts w:hint="eastAsia" w:ascii="宋体" w:hAnsi="宋体" w:eastAsia="宋体" w:cs="宋体"/>
                <w:i w:val="0"/>
                <w:iCs w:val="0"/>
                <w:color w:val="auto"/>
                <w:sz w:val="18"/>
                <w:szCs w:val="18"/>
                <w:u w:val="none"/>
              </w:rPr>
            </w:pPr>
          </w:p>
        </w:tc>
      </w:tr>
    </w:tbl>
    <w:p w14:paraId="6F320AA3">
      <w:pPr>
        <w:rPr>
          <w:rFonts w:hint="default" w:ascii="Times New Roman" w:hAnsi="Times New Roman" w:cs="Times New Roman"/>
          <w:color w:val="auto"/>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2AE09AEE">
        <w:pPr>
          <w:pStyle w:val="11"/>
          <w:jc w:val="center"/>
        </w:pPr>
        <w:r>
          <w:fldChar w:fldCharType="begin"/>
        </w:r>
        <w:r>
          <w:instrText xml:space="preserve">PAGE   \* MERGEFORMAT</w:instrText>
        </w:r>
        <w:r>
          <w:fldChar w:fldCharType="separate"/>
        </w:r>
        <w:r>
          <w:rPr>
            <w:lang w:val="zh-CN"/>
          </w:rPr>
          <w:t>13</w:t>
        </w:r>
        <w:r>
          <w:fldChar w:fldCharType="end"/>
        </w:r>
      </w:p>
    </w:sdtContent>
  </w:sdt>
  <w:p w14:paraId="12094F37">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DEEED27"/>
    <w:multiLevelType w:val="singleLevel"/>
    <w:tmpl w:val="FDEEED27"/>
    <w:lvl w:ilvl="0" w:tentative="0">
      <w:start w:val="1"/>
      <w:numFmt w:val="decimal"/>
      <w:pStyle w:val="9"/>
      <w:lvlText w:val="%1."/>
      <w:lvlJc w:val="left"/>
      <w:pPr>
        <w:tabs>
          <w:tab w:val="left" w:pos="2040"/>
        </w:tabs>
        <w:ind w:left="2040" w:hanging="360"/>
      </w:pPr>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8D16A3"/>
    <w:rsid w:val="03EC461B"/>
    <w:rsid w:val="07397B77"/>
    <w:rsid w:val="08A81A71"/>
    <w:rsid w:val="0AD007F3"/>
    <w:rsid w:val="0E3C619F"/>
    <w:rsid w:val="11170296"/>
    <w:rsid w:val="13471461"/>
    <w:rsid w:val="13B90F01"/>
    <w:rsid w:val="15436065"/>
    <w:rsid w:val="155E4C4D"/>
    <w:rsid w:val="17462648"/>
    <w:rsid w:val="181066D2"/>
    <w:rsid w:val="19FF7024"/>
    <w:rsid w:val="1C291FDA"/>
    <w:rsid w:val="1C671E73"/>
    <w:rsid w:val="1D1125A5"/>
    <w:rsid w:val="1D322C47"/>
    <w:rsid w:val="1EFDDAA8"/>
    <w:rsid w:val="1F5570C1"/>
    <w:rsid w:val="23616034"/>
    <w:rsid w:val="23D4607E"/>
    <w:rsid w:val="24480FA2"/>
    <w:rsid w:val="25227A45"/>
    <w:rsid w:val="26AC3A6A"/>
    <w:rsid w:val="281178FD"/>
    <w:rsid w:val="2B9D7E25"/>
    <w:rsid w:val="2C7C7A3B"/>
    <w:rsid w:val="2EFC0D68"/>
    <w:rsid w:val="2F364819"/>
    <w:rsid w:val="2FD63906"/>
    <w:rsid w:val="323F1C36"/>
    <w:rsid w:val="32DE783B"/>
    <w:rsid w:val="35FE3BB6"/>
    <w:rsid w:val="37215DAE"/>
    <w:rsid w:val="37BC4753"/>
    <w:rsid w:val="38CA40DD"/>
    <w:rsid w:val="395F2B56"/>
    <w:rsid w:val="3BBA0580"/>
    <w:rsid w:val="3BECE841"/>
    <w:rsid w:val="3BF7F3EF"/>
    <w:rsid w:val="3CDE204C"/>
    <w:rsid w:val="3D363C36"/>
    <w:rsid w:val="3E2D01B7"/>
    <w:rsid w:val="3E9C3F6D"/>
    <w:rsid w:val="3FD788F3"/>
    <w:rsid w:val="3FF7797D"/>
    <w:rsid w:val="46690BD8"/>
    <w:rsid w:val="47F60AF6"/>
    <w:rsid w:val="49F70BF1"/>
    <w:rsid w:val="4B4340EE"/>
    <w:rsid w:val="4BF06537"/>
    <w:rsid w:val="4FF98A1C"/>
    <w:rsid w:val="503D507A"/>
    <w:rsid w:val="51FA74D0"/>
    <w:rsid w:val="52AA4A52"/>
    <w:rsid w:val="55853555"/>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2B92A90"/>
    <w:rsid w:val="642B176B"/>
    <w:rsid w:val="643EE26D"/>
    <w:rsid w:val="656019A0"/>
    <w:rsid w:val="65F242EE"/>
    <w:rsid w:val="666D7E19"/>
    <w:rsid w:val="68376930"/>
    <w:rsid w:val="68F91E38"/>
    <w:rsid w:val="69767E03"/>
    <w:rsid w:val="6B3158B9"/>
    <w:rsid w:val="6BA02A3F"/>
    <w:rsid w:val="6C1E5A53"/>
    <w:rsid w:val="6DD20F3C"/>
    <w:rsid w:val="6F5C41AC"/>
    <w:rsid w:val="6FAF6C78"/>
    <w:rsid w:val="6FFEE84C"/>
    <w:rsid w:val="70204060"/>
    <w:rsid w:val="716167CC"/>
    <w:rsid w:val="718A7AD1"/>
    <w:rsid w:val="72876EAD"/>
    <w:rsid w:val="72A44BC2"/>
    <w:rsid w:val="7317C656"/>
    <w:rsid w:val="734ED73F"/>
    <w:rsid w:val="73C82B32"/>
    <w:rsid w:val="73F94DAE"/>
    <w:rsid w:val="74220495"/>
    <w:rsid w:val="747D1B6F"/>
    <w:rsid w:val="749E5641"/>
    <w:rsid w:val="76271066"/>
    <w:rsid w:val="776FF713"/>
    <w:rsid w:val="77FD8BE9"/>
    <w:rsid w:val="78000AED"/>
    <w:rsid w:val="78482494"/>
    <w:rsid w:val="79A9BD3F"/>
    <w:rsid w:val="7A7F3160"/>
    <w:rsid w:val="7B776F12"/>
    <w:rsid w:val="7BB0282A"/>
    <w:rsid w:val="7BFFFDD0"/>
    <w:rsid w:val="7C336E5F"/>
    <w:rsid w:val="7C8D4919"/>
    <w:rsid w:val="7D7A5F86"/>
    <w:rsid w:val="7DFF0A62"/>
    <w:rsid w:val="7E4B683A"/>
    <w:rsid w:val="7E5E656D"/>
    <w:rsid w:val="7E8F2BCB"/>
    <w:rsid w:val="7EFAF6F5"/>
    <w:rsid w:val="7F37BB4E"/>
    <w:rsid w:val="7FEF918E"/>
    <w:rsid w:val="7FF4FB6F"/>
    <w:rsid w:val="7FF7FF27"/>
    <w:rsid w:val="7FFDF714"/>
    <w:rsid w:val="9D7F390D"/>
    <w:rsid w:val="AF3FCD8C"/>
    <w:rsid w:val="B4FF7355"/>
    <w:rsid w:val="B9FA2A43"/>
    <w:rsid w:val="BF7BA1E4"/>
    <w:rsid w:val="BFDF04FA"/>
    <w:rsid w:val="BFE227EF"/>
    <w:rsid w:val="CF2A1ABD"/>
    <w:rsid w:val="D0B917C1"/>
    <w:rsid w:val="DA7D3CD9"/>
    <w:rsid w:val="DBDC0ADA"/>
    <w:rsid w:val="DEDE2B06"/>
    <w:rsid w:val="E7773746"/>
    <w:rsid w:val="EBFA31C2"/>
    <w:rsid w:val="ECB9DAE4"/>
    <w:rsid w:val="EDFED914"/>
    <w:rsid w:val="EFEFA006"/>
    <w:rsid w:val="F3F4A11B"/>
    <w:rsid w:val="F9FD7907"/>
    <w:rsid w:val="FAEF933D"/>
    <w:rsid w:val="FB3A4A6A"/>
    <w:rsid w:val="FBFF9AE9"/>
    <w:rsid w:val="FF6C4049"/>
    <w:rsid w:val="FF78F63F"/>
    <w:rsid w:val="FF8D2000"/>
    <w:rsid w:val="FFFBAC0A"/>
    <w:rsid w:val="FFFDC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4"/>
    <w:qFormat/>
    <w:uiPriority w:val="0"/>
    <w:pPr>
      <w:jc w:val="left"/>
    </w:pPr>
  </w:style>
  <w:style w:type="paragraph" w:styleId="5">
    <w:name w:val="Body Text"/>
    <w:basedOn w:val="1"/>
    <w:qFormat/>
    <w:uiPriority w:val="0"/>
    <w:pPr>
      <w:spacing w:after="120"/>
    </w:pPr>
  </w:style>
  <w:style w:type="paragraph" w:styleId="6">
    <w:name w:val="Body Text Indent"/>
    <w:basedOn w:val="1"/>
    <w:next w:val="7"/>
    <w:qFormat/>
    <w:uiPriority w:val="0"/>
    <w:pPr>
      <w:spacing w:after="120"/>
      <w:ind w:left="420" w:leftChars="200"/>
    </w:pPr>
    <w:rPr>
      <w:rFonts w:ascii="Calibri" w:hAnsi="Calibri"/>
    </w:rPr>
  </w:style>
  <w:style w:type="paragraph" w:styleId="7">
    <w:name w:val="Body Text First Indent 2"/>
    <w:basedOn w:val="6"/>
    <w:next w:val="8"/>
    <w:qFormat/>
    <w:uiPriority w:val="0"/>
    <w:pPr>
      <w:ind w:firstLine="420" w:firstLineChars="200"/>
    </w:pPr>
  </w:style>
  <w:style w:type="paragraph" w:styleId="8">
    <w:name w:val="Plain Text"/>
    <w:basedOn w:val="1"/>
    <w:next w:val="9"/>
    <w:qFormat/>
    <w:uiPriority w:val="0"/>
    <w:rPr>
      <w:rFonts w:ascii="宋体" w:hAnsi="Courier New" w:eastAsia="宋体"/>
      <w:sz w:val="28"/>
      <w:szCs w:val="20"/>
    </w:rPr>
  </w:style>
  <w:style w:type="paragraph" w:styleId="9">
    <w:name w:val="List Number 5"/>
    <w:basedOn w:val="1"/>
    <w:qFormat/>
    <w:uiPriority w:val="0"/>
    <w:pPr>
      <w:numPr>
        <w:ilvl w:val="0"/>
        <w:numId w:val="1"/>
      </w:numPr>
    </w:pPr>
  </w:style>
  <w:style w:type="paragraph" w:styleId="10">
    <w:name w:val="Balloon Text"/>
    <w:basedOn w:val="1"/>
    <w:link w:val="22"/>
    <w:qFormat/>
    <w:uiPriority w:val="0"/>
    <w:rPr>
      <w:sz w:val="18"/>
      <w:szCs w:val="18"/>
    </w:rPr>
  </w:style>
  <w:style w:type="paragraph" w:styleId="11">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2">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annotation subject"/>
    <w:basedOn w:val="4"/>
    <w:next w:val="4"/>
    <w:link w:val="25"/>
    <w:qFormat/>
    <w:uiPriority w:val="0"/>
    <w:rPr>
      <w:b/>
      <w:bCs/>
    </w:rPr>
  </w:style>
  <w:style w:type="paragraph" w:styleId="15">
    <w:name w:val="Body Text First Indent"/>
    <w:basedOn w:val="5"/>
    <w:qFormat/>
    <w:uiPriority w:val="0"/>
    <w:pPr>
      <w:spacing w:after="0"/>
      <w:ind w:firstLine="200" w:firstLineChars="200"/>
    </w:pPr>
  </w:style>
  <w:style w:type="character" w:styleId="18">
    <w:name w:val="Strong"/>
    <w:basedOn w:val="17"/>
    <w:qFormat/>
    <w:uiPriority w:val="0"/>
    <w:rPr>
      <w:b/>
      <w:bCs/>
    </w:rPr>
  </w:style>
  <w:style w:type="character" w:styleId="19">
    <w:name w:val="annotation reference"/>
    <w:basedOn w:val="17"/>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7"/>
    <w:link w:val="10"/>
    <w:qFormat/>
    <w:uiPriority w:val="0"/>
    <w:rPr>
      <w:rFonts w:ascii="Times New Roman" w:hAnsi="Times New Roman" w:eastAsia="宋体" w:cs="Times New Roman"/>
      <w:kern w:val="2"/>
      <w:sz w:val="18"/>
      <w:szCs w:val="18"/>
    </w:rPr>
  </w:style>
  <w:style w:type="character" w:customStyle="1" w:styleId="23">
    <w:name w:val="页眉 字符"/>
    <w:basedOn w:val="17"/>
    <w:link w:val="12"/>
    <w:qFormat/>
    <w:uiPriority w:val="0"/>
    <w:rPr>
      <w:rFonts w:ascii="Times New Roman" w:hAnsi="Times New Roman" w:eastAsia="宋体" w:cs="Times New Roman"/>
      <w:kern w:val="2"/>
      <w:sz w:val="18"/>
      <w:szCs w:val="18"/>
    </w:rPr>
  </w:style>
  <w:style w:type="character" w:customStyle="1" w:styleId="24">
    <w:name w:val="批注文字 字符"/>
    <w:basedOn w:val="17"/>
    <w:link w:val="4"/>
    <w:qFormat/>
    <w:uiPriority w:val="0"/>
    <w:rPr>
      <w:rFonts w:ascii="Times New Roman" w:hAnsi="Times New Roman" w:eastAsia="宋体" w:cs="Times New Roman"/>
      <w:kern w:val="2"/>
      <w:sz w:val="21"/>
      <w:szCs w:val="24"/>
    </w:rPr>
  </w:style>
  <w:style w:type="character" w:customStyle="1" w:styleId="25">
    <w:name w:val="批注主题 字符"/>
    <w:basedOn w:val="24"/>
    <w:link w:val="14"/>
    <w:qFormat/>
    <w:uiPriority w:val="0"/>
    <w:rPr>
      <w:rFonts w:ascii="Times New Roman" w:hAnsi="Times New Roman" w:eastAsia="宋体" w:cs="Times New Roman"/>
      <w:b/>
      <w:bCs/>
      <w:kern w:val="2"/>
      <w:sz w:val="21"/>
      <w:szCs w:val="24"/>
    </w:rPr>
  </w:style>
  <w:style w:type="paragraph" w:customStyle="1" w:styleId="26">
    <w:name w:val="Char Char Char"/>
    <w:basedOn w:val="1"/>
    <w:qFormat/>
    <w:uiPriority w:val="99"/>
    <w:pPr>
      <w:widowControl/>
      <w:spacing w:after="160" w:line="240" w:lineRule="exact"/>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31</Pages>
  <Words>10238</Words>
  <Characters>10638</Characters>
  <Lines>58</Lines>
  <Paragraphs>16</Paragraphs>
  <TotalTime>3</TotalTime>
  <ScaleCrop>false</ScaleCrop>
  <LinksUpToDate>false</LinksUpToDate>
  <CharactersWithSpaces>10665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2023-03-11T05:13:00Z</dcterms:created>
  <dc:creator>审核人</dc:creator>
  <cp:lastModifiedBy>Slivia</cp:lastModifiedBy>
  <cp:lastPrinted>2025-03-14T10:37:00Z</cp:lastPrinted>
  <dcterms:modified xsi:type="dcterms:W3CDTF">2025-08-27T10:00:08Z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B96050AE9A414C35AA2D0679934C6586_13</vt:lpwstr>
  </property>
  <property fmtid="{D5CDD505-2E9C-101B-9397-08002B2CF9AE}" pid="4" name="KSOTemplateDocerSaveRecord">
    <vt:lpwstr>eyJoZGlkIjoiZGM4Y2ExNDA0MjdkYTk1NTY2NzM4YTExNWYxN2IxZmMiLCJ1c2VySWQiOiIzMjM2NTI0MzUifQ==</vt:lpwstr>
  </property>
</Properties>
</file>