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D0B5FB">
      <w:pPr>
        <w:pageBreakBefore w:val="0"/>
        <w:kinsoku/>
        <w:wordWrap/>
        <w:overflowPunct/>
        <w:topLinePunct w:val="0"/>
        <w:autoSpaceDE/>
        <w:autoSpaceDN/>
        <w:bidi w:val="0"/>
        <w:adjustRightInd/>
        <w:snapToGrid/>
        <w:spacing w:line="560" w:lineRule="exact"/>
        <w:jc w:val="center"/>
        <w:rPr>
          <w:rFonts w:eastAsia="华文中宋"/>
          <w:b/>
          <w:kern w:val="0"/>
          <w:sz w:val="52"/>
          <w:szCs w:val="52"/>
        </w:rPr>
      </w:pPr>
    </w:p>
    <w:p w14:paraId="2D6F1BD3">
      <w:pPr>
        <w:pageBreakBefore w:val="0"/>
        <w:kinsoku/>
        <w:wordWrap/>
        <w:overflowPunct/>
        <w:topLinePunct w:val="0"/>
        <w:autoSpaceDE/>
        <w:autoSpaceDN/>
        <w:bidi w:val="0"/>
        <w:adjustRightInd/>
        <w:snapToGrid/>
        <w:spacing w:line="560" w:lineRule="exact"/>
        <w:jc w:val="center"/>
        <w:rPr>
          <w:rFonts w:eastAsia="华文中宋"/>
          <w:b/>
          <w:kern w:val="0"/>
          <w:sz w:val="52"/>
          <w:szCs w:val="52"/>
        </w:rPr>
      </w:pPr>
    </w:p>
    <w:p w14:paraId="73A2D926">
      <w:pPr>
        <w:pageBreakBefore w:val="0"/>
        <w:kinsoku/>
        <w:wordWrap/>
        <w:overflowPunct/>
        <w:topLinePunct w:val="0"/>
        <w:autoSpaceDE/>
        <w:autoSpaceDN/>
        <w:bidi w:val="0"/>
        <w:adjustRightInd/>
        <w:snapToGrid/>
        <w:spacing w:line="560" w:lineRule="exact"/>
        <w:jc w:val="center"/>
        <w:rPr>
          <w:rFonts w:hint="eastAsia" w:eastAsia="方正小标宋_GBK"/>
          <w:kern w:val="0"/>
          <w:sz w:val="48"/>
          <w:szCs w:val="48"/>
        </w:rPr>
      </w:pPr>
      <w:r>
        <w:rPr>
          <w:rFonts w:hint="eastAsia" w:eastAsia="方正小标宋_GBK"/>
          <w:kern w:val="0"/>
          <w:sz w:val="48"/>
          <w:szCs w:val="48"/>
        </w:rPr>
        <w:t>六十年代精简退职老职工生活补助费</w:t>
      </w:r>
    </w:p>
    <w:p w14:paraId="55BE8645">
      <w:pPr>
        <w:pageBreakBefore w:val="0"/>
        <w:kinsoku/>
        <w:wordWrap/>
        <w:overflowPunct/>
        <w:topLinePunct w:val="0"/>
        <w:autoSpaceDE/>
        <w:autoSpaceDN/>
        <w:bidi w:val="0"/>
        <w:adjustRightInd/>
        <w:snapToGrid/>
        <w:spacing w:line="560" w:lineRule="exact"/>
        <w:jc w:val="center"/>
        <w:rPr>
          <w:rFonts w:eastAsia="方正小标宋_GBK"/>
          <w:kern w:val="0"/>
          <w:sz w:val="48"/>
          <w:szCs w:val="48"/>
        </w:rPr>
      </w:pPr>
      <w:r>
        <w:rPr>
          <w:rFonts w:eastAsia="方正小标宋_GBK"/>
          <w:kern w:val="0"/>
          <w:sz w:val="48"/>
          <w:szCs w:val="48"/>
        </w:rPr>
        <w:t>资金项目支出绩效评价报告</w:t>
      </w:r>
    </w:p>
    <w:p w14:paraId="7D4188F6">
      <w:pPr>
        <w:pageBreakBefore w:val="0"/>
        <w:kinsoku/>
        <w:wordWrap/>
        <w:overflowPunct/>
        <w:topLinePunct w:val="0"/>
        <w:autoSpaceDE/>
        <w:autoSpaceDN/>
        <w:bidi w:val="0"/>
        <w:adjustRightInd/>
        <w:snapToGrid/>
        <w:spacing w:line="560" w:lineRule="exact"/>
        <w:jc w:val="center"/>
        <w:rPr>
          <w:rFonts w:eastAsia="华文中宋"/>
          <w:b/>
          <w:kern w:val="0"/>
          <w:sz w:val="52"/>
          <w:szCs w:val="52"/>
        </w:rPr>
      </w:pPr>
    </w:p>
    <w:p w14:paraId="62A90914">
      <w:pPr>
        <w:pageBreakBefore w:val="0"/>
        <w:kinsoku/>
        <w:wordWrap/>
        <w:overflowPunct/>
        <w:topLinePunct w:val="0"/>
        <w:autoSpaceDE/>
        <w:autoSpaceDN/>
        <w:bidi w:val="0"/>
        <w:adjustRightInd/>
        <w:snapToGrid/>
        <w:spacing w:line="560" w:lineRule="exact"/>
        <w:jc w:val="center"/>
        <w:rPr>
          <w:rFonts w:eastAsia="仿宋_GB2312"/>
          <w:kern w:val="0"/>
          <w:sz w:val="36"/>
          <w:szCs w:val="36"/>
        </w:rPr>
      </w:pPr>
      <w:r>
        <w:rPr>
          <w:rFonts w:eastAsia="仿宋_GB2312"/>
          <w:kern w:val="0"/>
          <w:sz w:val="36"/>
          <w:szCs w:val="36"/>
        </w:rPr>
        <w:t>（ 202</w:t>
      </w:r>
      <w:r>
        <w:rPr>
          <w:rFonts w:hint="eastAsia" w:eastAsia="仿宋_GB2312"/>
          <w:kern w:val="0"/>
          <w:sz w:val="36"/>
          <w:szCs w:val="36"/>
          <w:lang w:val="en-US" w:eastAsia="zh-CN"/>
        </w:rPr>
        <w:t>4</w:t>
      </w:r>
      <w:r>
        <w:rPr>
          <w:rFonts w:eastAsia="仿宋_GB2312"/>
          <w:kern w:val="0"/>
          <w:sz w:val="36"/>
          <w:szCs w:val="36"/>
        </w:rPr>
        <w:t>年度）</w:t>
      </w:r>
    </w:p>
    <w:p w14:paraId="6794F555">
      <w:pPr>
        <w:pageBreakBefore w:val="0"/>
        <w:kinsoku/>
        <w:wordWrap/>
        <w:overflowPunct/>
        <w:topLinePunct w:val="0"/>
        <w:autoSpaceDE/>
        <w:autoSpaceDN/>
        <w:bidi w:val="0"/>
        <w:adjustRightInd/>
        <w:snapToGrid/>
        <w:spacing w:line="560" w:lineRule="exact"/>
        <w:jc w:val="center"/>
        <w:rPr>
          <w:rFonts w:eastAsia="仿宋_GB2312"/>
          <w:kern w:val="0"/>
          <w:sz w:val="30"/>
          <w:szCs w:val="30"/>
        </w:rPr>
      </w:pPr>
    </w:p>
    <w:p w14:paraId="29759C69">
      <w:pPr>
        <w:pageBreakBefore w:val="0"/>
        <w:kinsoku/>
        <w:wordWrap/>
        <w:overflowPunct/>
        <w:topLinePunct w:val="0"/>
        <w:autoSpaceDE/>
        <w:autoSpaceDN/>
        <w:bidi w:val="0"/>
        <w:adjustRightInd/>
        <w:snapToGrid/>
        <w:spacing w:line="560" w:lineRule="exact"/>
        <w:jc w:val="center"/>
        <w:rPr>
          <w:rFonts w:eastAsia="仿宋_GB2312"/>
          <w:kern w:val="0"/>
          <w:sz w:val="30"/>
          <w:szCs w:val="30"/>
        </w:rPr>
      </w:pPr>
    </w:p>
    <w:p w14:paraId="00667F40">
      <w:pPr>
        <w:pageBreakBefore w:val="0"/>
        <w:kinsoku/>
        <w:wordWrap/>
        <w:overflowPunct/>
        <w:topLinePunct w:val="0"/>
        <w:autoSpaceDE/>
        <w:autoSpaceDN/>
        <w:bidi w:val="0"/>
        <w:adjustRightInd/>
        <w:snapToGrid/>
        <w:spacing w:line="560" w:lineRule="exact"/>
        <w:jc w:val="center"/>
        <w:rPr>
          <w:rFonts w:eastAsia="仿宋_GB2312"/>
          <w:kern w:val="0"/>
          <w:sz w:val="30"/>
          <w:szCs w:val="30"/>
        </w:rPr>
      </w:pPr>
    </w:p>
    <w:p w14:paraId="29978BD4">
      <w:pPr>
        <w:pageBreakBefore w:val="0"/>
        <w:kinsoku/>
        <w:wordWrap/>
        <w:overflowPunct/>
        <w:topLinePunct w:val="0"/>
        <w:autoSpaceDE/>
        <w:autoSpaceDN/>
        <w:bidi w:val="0"/>
        <w:adjustRightInd/>
        <w:snapToGrid/>
        <w:spacing w:line="560" w:lineRule="exact"/>
        <w:jc w:val="center"/>
        <w:rPr>
          <w:rFonts w:eastAsia="仿宋_GB2312"/>
          <w:kern w:val="0"/>
          <w:sz w:val="30"/>
          <w:szCs w:val="30"/>
        </w:rPr>
      </w:pPr>
    </w:p>
    <w:p w14:paraId="23E82CC1">
      <w:pPr>
        <w:pageBreakBefore w:val="0"/>
        <w:kinsoku/>
        <w:wordWrap/>
        <w:overflowPunct/>
        <w:topLinePunct w:val="0"/>
        <w:autoSpaceDE/>
        <w:autoSpaceDN/>
        <w:bidi w:val="0"/>
        <w:adjustRightInd/>
        <w:snapToGrid/>
        <w:spacing w:line="560" w:lineRule="exact"/>
        <w:rPr>
          <w:rFonts w:eastAsia="仿宋_GB2312"/>
          <w:kern w:val="0"/>
          <w:sz w:val="30"/>
          <w:szCs w:val="30"/>
        </w:rPr>
      </w:pPr>
    </w:p>
    <w:p w14:paraId="5F53B7E9">
      <w:pPr>
        <w:pageBreakBefore w:val="0"/>
        <w:kinsoku/>
        <w:wordWrap/>
        <w:overflowPunct/>
        <w:topLinePunct w:val="0"/>
        <w:autoSpaceDE/>
        <w:autoSpaceDN/>
        <w:bidi w:val="0"/>
        <w:adjustRightInd/>
        <w:snapToGrid/>
        <w:spacing w:line="560" w:lineRule="exact"/>
        <w:ind w:firstLine="720" w:firstLineChars="200"/>
        <w:jc w:val="left"/>
        <w:rPr>
          <w:rFonts w:eastAsia="仿宋_GB2312"/>
          <w:kern w:val="0"/>
          <w:sz w:val="36"/>
          <w:szCs w:val="36"/>
        </w:rPr>
      </w:pPr>
      <w:r>
        <w:rPr>
          <w:rFonts w:eastAsia="仿宋_GB2312"/>
          <w:kern w:val="0"/>
          <w:sz w:val="36"/>
          <w:szCs w:val="36"/>
        </w:rPr>
        <w:t>项目名称：</w:t>
      </w:r>
      <w:r>
        <w:rPr>
          <w:rFonts w:hint="eastAsia" w:ascii="Times New Roman" w:hAnsi="Times New Roman" w:eastAsia="仿宋_GB2312" w:cs="Times New Roman"/>
          <w:kern w:val="0"/>
          <w:sz w:val="36"/>
          <w:szCs w:val="36"/>
          <w:lang w:val="en-US" w:eastAsia="zh-CN" w:bidi="ar-SA"/>
        </w:rPr>
        <w:t>六十年代精简退职老职工生活补助费</w:t>
      </w:r>
    </w:p>
    <w:p w14:paraId="70D39CD5">
      <w:pPr>
        <w:pageBreakBefore w:val="0"/>
        <w:kinsoku/>
        <w:wordWrap/>
        <w:overflowPunct/>
        <w:topLinePunct w:val="0"/>
        <w:autoSpaceDE/>
        <w:autoSpaceDN/>
        <w:bidi w:val="0"/>
        <w:adjustRightInd/>
        <w:snapToGrid/>
        <w:spacing w:line="560" w:lineRule="exact"/>
        <w:ind w:left="3238" w:leftChars="342" w:hanging="2520" w:hangingChars="700"/>
        <w:jc w:val="left"/>
        <w:rPr>
          <w:rFonts w:hint="eastAsia" w:ascii="Times New Roman" w:hAnsi="Times New Roman" w:eastAsia="仿宋_GB2312" w:cs="Times New Roman"/>
          <w:kern w:val="0"/>
          <w:sz w:val="36"/>
          <w:szCs w:val="36"/>
          <w:lang w:val="en-US" w:eastAsia="zh-CN" w:bidi="ar-SA"/>
        </w:rPr>
      </w:pPr>
      <w:r>
        <w:rPr>
          <w:rFonts w:eastAsia="仿宋_GB2312"/>
          <w:kern w:val="0"/>
          <w:sz w:val="36"/>
          <w:szCs w:val="36"/>
        </w:rPr>
        <w:t>实施单位（公章）：</w:t>
      </w:r>
      <w:r>
        <w:rPr>
          <w:rFonts w:hint="eastAsia" w:ascii="Times New Roman" w:hAnsi="Times New Roman" w:eastAsia="仿宋_GB2312" w:cs="Times New Roman"/>
          <w:kern w:val="0"/>
          <w:sz w:val="36"/>
          <w:szCs w:val="36"/>
          <w:lang w:val="en-US" w:eastAsia="zh-CN" w:bidi="ar-SA"/>
        </w:rPr>
        <w:t>自治区工业和信息化厅</w:t>
      </w:r>
    </w:p>
    <w:p w14:paraId="6E8D296C">
      <w:pPr>
        <w:pageBreakBefore w:val="0"/>
        <w:kinsoku/>
        <w:wordWrap/>
        <w:overflowPunct/>
        <w:topLinePunct w:val="0"/>
        <w:autoSpaceDE/>
        <w:autoSpaceDN/>
        <w:bidi w:val="0"/>
        <w:adjustRightInd/>
        <w:snapToGrid/>
        <w:spacing w:line="560" w:lineRule="exact"/>
        <w:ind w:firstLine="720" w:firstLineChars="200"/>
        <w:jc w:val="left"/>
        <w:rPr>
          <w:rFonts w:hint="eastAsia" w:eastAsia="仿宋_GB2312" w:cs="Times New Roman"/>
          <w:kern w:val="0"/>
          <w:sz w:val="36"/>
          <w:szCs w:val="36"/>
          <w:lang w:val="en-US" w:eastAsia="zh-CN" w:bidi="ar-SA"/>
        </w:rPr>
      </w:pPr>
      <w:r>
        <w:rPr>
          <w:rFonts w:eastAsia="仿宋_GB2312"/>
          <w:kern w:val="0"/>
          <w:sz w:val="36"/>
          <w:szCs w:val="36"/>
        </w:rPr>
        <w:t>项目负责人（签章）：</w:t>
      </w:r>
      <w:r>
        <w:rPr>
          <w:rFonts w:hint="eastAsia" w:eastAsia="仿宋_GB2312" w:cs="Times New Roman"/>
          <w:kern w:val="0"/>
          <w:sz w:val="36"/>
          <w:szCs w:val="36"/>
          <w:lang w:val="en-US" w:eastAsia="zh-CN" w:bidi="ar-SA"/>
        </w:rPr>
        <w:t>李长青</w:t>
      </w:r>
    </w:p>
    <w:p w14:paraId="2F1BC7EC">
      <w:pPr>
        <w:pageBreakBefore w:val="0"/>
        <w:kinsoku/>
        <w:wordWrap/>
        <w:overflowPunct/>
        <w:topLinePunct w:val="0"/>
        <w:autoSpaceDE/>
        <w:autoSpaceDN/>
        <w:bidi w:val="0"/>
        <w:adjustRightInd/>
        <w:snapToGrid/>
        <w:spacing w:line="560" w:lineRule="exact"/>
        <w:ind w:firstLine="720" w:firstLineChars="200"/>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lang w:val="en-US" w:eastAsia="zh-CN"/>
        </w:rPr>
        <w:t>2025</w:t>
      </w:r>
      <w:r>
        <w:rPr>
          <w:rFonts w:eastAsia="仿宋_GB2312"/>
          <w:kern w:val="0"/>
          <w:sz w:val="36"/>
          <w:szCs w:val="36"/>
        </w:rPr>
        <w:t>年</w:t>
      </w:r>
      <w:r>
        <w:rPr>
          <w:rFonts w:hint="default" w:eastAsia="仿宋_GB2312"/>
          <w:kern w:val="0"/>
          <w:sz w:val="36"/>
          <w:szCs w:val="36"/>
          <w:lang w:val="en"/>
        </w:rPr>
        <w:t>3</w:t>
      </w:r>
      <w:r>
        <w:rPr>
          <w:rFonts w:eastAsia="仿宋_GB2312"/>
          <w:kern w:val="0"/>
          <w:sz w:val="36"/>
          <w:szCs w:val="36"/>
        </w:rPr>
        <w:t>月</w:t>
      </w:r>
      <w:r>
        <w:rPr>
          <w:rFonts w:hint="default" w:eastAsia="仿宋_GB2312"/>
          <w:kern w:val="0"/>
          <w:sz w:val="36"/>
          <w:szCs w:val="36"/>
          <w:lang w:val="en"/>
        </w:rPr>
        <w:t>13</w:t>
      </w:r>
      <w:r>
        <w:rPr>
          <w:rFonts w:eastAsia="仿宋_GB2312"/>
          <w:kern w:val="0"/>
          <w:sz w:val="36"/>
          <w:szCs w:val="36"/>
        </w:rPr>
        <w:t>日</w:t>
      </w:r>
    </w:p>
    <w:p w14:paraId="18329BBD">
      <w:pPr>
        <w:pageBreakBefore w:val="0"/>
        <w:kinsoku/>
        <w:wordWrap/>
        <w:overflowPunct/>
        <w:topLinePunct w:val="0"/>
        <w:autoSpaceDE/>
        <w:autoSpaceDN/>
        <w:bidi w:val="0"/>
        <w:adjustRightInd/>
        <w:snapToGrid/>
        <w:spacing w:line="560" w:lineRule="exact"/>
        <w:jc w:val="center"/>
        <w:rPr>
          <w:rFonts w:eastAsia="仿宋_GB2312"/>
          <w:kern w:val="0"/>
          <w:sz w:val="30"/>
          <w:szCs w:val="30"/>
        </w:rPr>
      </w:pPr>
    </w:p>
    <w:p w14:paraId="491AD73D">
      <w:pPr>
        <w:pageBreakBefore w:val="0"/>
        <w:kinsoku/>
        <w:wordWrap/>
        <w:overflowPunct/>
        <w:topLinePunct w:val="0"/>
        <w:autoSpaceDE/>
        <w:autoSpaceDN/>
        <w:bidi w:val="0"/>
        <w:adjustRightInd/>
        <w:snapToGrid/>
        <w:spacing w:line="560" w:lineRule="exact"/>
        <w:rPr>
          <w:rStyle w:val="24"/>
          <w:rFonts w:eastAsia="黑体"/>
          <w:b w:val="0"/>
          <w:spacing w:val="-4"/>
          <w:sz w:val="32"/>
          <w:szCs w:val="32"/>
        </w:rPr>
      </w:pPr>
    </w:p>
    <w:p w14:paraId="2152BFEC">
      <w:pPr>
        <w:pageBreakBefore w:val="0"/>
        <w:kinsoku/>
        <w:wordWrap/>
        <w:overflowPunct/>
        <w:topLinePunct w:val="0"/>
        <w:autoSpaceDE/>
        <w:autoSpaceDN/>
        <w:bidi w:val="0"/>
        <w:adjustRightInd/>
        <w:snapToGrid/>
        <w:spacing w:line="560" w:lineRule="exact"/>
        <w:ind w:firstLine="640"/>
        <w:rPr>
          <w:rStyle w:val="24"/>
          <w:rFonts w:eastAsia="黑体"/>
          <w:b w:val="0"/>
          <w:spacing w:val="-4"/>
          <w:sz w:val="32"/>
          <w:szCs w:val="32"/>
        </w:rPr>
      </w:pPr>
    </w:p>
    <w:p w14:paraId="158152EB">
      <w:pPr>
        <w:pageBreakBefore w:val="0"/>
        <w:kinsoku/>
        <w:wordWrap/>
        <w:overflowPunct/>
        <w:topLinePunct w:val="0"/>
        <w:autoSpaceDE/>
        <w:autoSpaceDN/>
        <w:bidi w:val="0"/>
        <w:adjustRightInd/>
        <w:snapToGrid/>
        <w:spacing w:line="560" w:lineRule="exact"/>
        <w:rPr>
          <w:rStyle w:val="24"/>
          <w:rFonts w:eastAsia="黑体"/>
          <w:b w:val="0"/>
          <w:spacing w:val="-4"/>
          <w:sz w:val="32"/>
          <w:szCs w:val="32"/>
        </w:rPr>
      </w:pPr>
    </w:p>
    <w:p w14:paraId="43205BDF">
      <w:pPr>
        <w:pageBreakBefore w:val="0"/>
        <w:kinsoku/>
        <w:wordWrap/>
        <w:overflowPunct/>
        <w:topLinePunct w:val="0"/>
        <w:autoSpaceDE/>
        <w:autoSpaceDN/>
        <w:bidi w:val="0"/>
        <w:adjustRightInd/>
        <w:snapToGrid/>
        <w:spacing w:line="560" w:lineRule="exact"/>
        <w:jc w:val="center"/>
        <w:rPr>
          <w:rFonts w:eastAsia="黑体"/>
          <w:bCs/>
          <w:sz w:val="32"/>
          <w:szCs w:val="32"/>
        </w:rPr>
      </w:pPr>
    </w:p>
    <w:p w14:paraId="33D32606">
      <w:pPr>
        <w:pStyle w:val="2"/>
        <w:rPr>
          <w:rFonts w:eastAsia="黑体"/>
          <w:bCs/>
          <w:sz w:val="32"/>
          <w:szCs w:val="32"/>
        </w:rPr>
      </w:pPr>
    </w:p>
    <w:p w14:paraId="2E2881B0">
      <w:pPr>
        <w:rPr>
          <w:rFonts w:hint="eastAsia" w:eastAsia="黑体"/>
          <w:lang w:val="en-US" w:eastAsia="zh-CN"/>
        </w:rPr>
      </w:pPr>
      <w:r>
        <w:rPr>
          <w:rFonts w:hint="eastAsia" w:eastAsia="黑体"/>
          <w:bCs/>
          <w:sz w:val="32"/>
          <w:szCs w:val="32"/>
          <w:lang w:val="en-US" w:eastAsia="zh-CN"/>
        </w:rPr>
        <w:t xml:space="preserve"> </w:t>
      </w:r>
    </w:p>
    <w:p w14:paraId="5E67B54C">
      <w:pPr>
        <w:pageBreakBefore w:val="0"/>
        <w:kinsoku/>
        <w:wordWrap/>
        <w:overflowPunct/>
        <w:topLinePunct w:val="0"/>
        <w:autoSpaceDE/>
        <w:autoSpaceDN/>
        <w:bidi w:val="0"/>
        <w:adjustRightInd/>
        <w:snapToGrid/>
        <w:spacing w:line="560" w:lineRule="exact"/>
        <w:rPr>
          <w:rFonts w:eastAsia="黑体"/>
          <w:bCs/>
          <w:sz w:val="32"/>
          <w:szCs w:val="32"/>
        </w:rPr>
      </w:pPr>
    </w:p>
    <w:p w14:paraId="75B39F71">
      <w:pPr>
        <w:pStyle w:val="2"/>
      </w:pPr>
    </w:p>
    <w:p w14:paraId="48925B6B">
      <w:pPr>
        <w:pageBreakBefore w:val="0"/>
        <w:kinsoku/>
        <w:wordWrap/>
        <w:overflowPunct/>
        <w:topLinePunct w:val="0"/>
        <w:autoSpaceDE/>
        <w:autoSpaceDN/>
        <w:bidi w:val="0"/>
        <w:adjustRightInd/>
        <w:snapToGrid/>
        <w:spacing w:line="560" w:lineRule="exact"/>
        <w:rPr>
          <w:rFonts w:eastAsia="黑体"/>
          <w:bCs/>
          <w:sz w:val="32"/>
          <w:szCs w:val="32"/>
        </w:rPr>
      </w:pPr>
      <w:r>
        <w:rPr>
          <w:rFonts w:hint="eastAsia"/>
          <w:lang w:val="en-US" w:eastAsia="zh-CN"/>
        </w:rPr>
        <w:t xml:space="preserve"> </w:t>
      </w:r>
      <w:r>
        <w:rPr>
          <w:rFonts w:eastAsia="黑体"/>
          <w:bCs/>
          <w:sz w:val="32"/>
          <w:szCs w:val="32"/>
        </w:rPr>
        <w:t>一、基本情况</w:t>
      </w:r>
    </w:p>
    <w:p w14:paraId="29BA7792">
      <w:pPr>
        <w:pageBreakBefore w:val="0"/>
        <w:kinsoku/>
        <w:wordWrap/>
        <w:overflowPunct/>
        <w:topLinePunct w:val="0"/>
        <w:autoSpaceDE/>
        <w:autoSpaceDN/>
        <w:bidi w:val="0"/>
        <w:adjustRightInd/>
        <w:snapToGrid/>
        <w:spacing w:line="560" w:lineRule="exact"/>
        <w:ind w:firstLine="641"/>
        <w:rPr>
          <w:rFonts w:eastAsia="楷体_GB2312"/>
          <w:b/>
          <w:bCs/>
          <w:sz w:val="32"/>
          <w:szCs w:val="32"/>
        </w:rPr>
      </w:pPr>
      <w:r>
        <w:rPr>
          <w:rFonts w:eastAsia="楷体_GB2312"/>
          <w:b/>
          <w:bCs/>
          <w:sz w:val="32"/>
          <w:szCs w:val="32"/>
        </w:rPr>
        <w:t>（一）项目概况</w:t>
      </w:r>
    </w:p>
    <w:p w14:paraId="51C404A4">
      <w:pPr>
        <w:pageBreakBefore w:val="0"/>
        <w:kinsoku/>
        <w:wordWrap/>
        <w:overflowPunct/>
        <w:topLinePunct w:val="0"/>
        <w:autoSpaceDE/>
        <w:autoSpaceDN/>
        <w:bidi w:val="0"/>
        <w:adjustRightInd/>
        <w:snapToGrid/>
        <w:spacing w:line="560" w:lineRule="exact"/>
        <w:ind w:firstLine="641"/>
        <w:rPr>
          <w:rFonts w:eastAsia="仿宋_GB2312"/>
          <w:b/>
          <w:bCs/>
          <w:sz w:val="32"/>
          <w:szCs w:val="32"/>
        </w:rPr>
      </w:pPr>
      <w:r>
        <w:rPr>
          <w:rFonts w:eastAsia="仿宋_GB2312"/>
          <w:b/>
          <w:bCs/>
          <w:sz w:val="32"/>
          <w:szCs w:val="32"/>
        </w:rPr>
        <w:t>1、项目背景</w:t>
      </w:r>
    </w:p>
    <w:p w14:paraId="24A79486">
      <w:pPr>
        <w:keepNext w:val="0"/>
        <w:keepLines w:val="0"/>
        <w:pageBreakBefore w:val="0"/>
        <w:kinsoku/>
        <w:wordWrap/>
        <w:overflowPunct/>
        <w:topLinePunct w:val="0"/>
        <w:autoSpaceDE/>
        <w:autoSpaceDN/>
        <w:bidi w:val="0"/>
        <w:adjustRightInd/>
        <w:snapToGrid/>
        <w:spacing w:after="0" w:line="560" w:lineRule="exact"/>
        <w:ind w:left="0" w:leftChars="0" w:right="0" w:rightChars="0" w:firstLine="624" w:firstLineChars="200"/>
        <w:textAlignment w:val="auto"/>
        <w:outlineLvl w:val="9"/>
        <w:rPr>
          <w:rStyle w:val="24"/>
          <w:rFonts w:hint="eastAsia" w:ascii="仿宋_GB2312" w:hAnsi="仿宋_GB2312" w:eastAsia="仿宋_GB2312" w:cs="仿宋_GB2312"/>
          <w:b w:val="0"/>
          <w:bCs w:val="0"/>
          <w:spacing w:val="-4"/>
          <w:sz w:val="32"/>
          <w:szCs w:val="32"/>
          <w:lang w:eastAsia="zh-CN"/>
        </w:rPr>
      </w:pPr>
      <w:r>
        <w:rPr>
          <w:rStyle w:val="24"/>
          <w:rFonts w:hint="eastAsia" w:ascii="仿宋_GB2312" w:hAnsi="仿宋_GB2312" w:eastAsia="仿宋_GB2312" w:cs="仿宋_GB2312"/>
          <w:b w:val="0"/>
          <w:bCs w:val="0"/>
          <w:spacing w:val="-4"/>
          <w:sz w:val="32"/>
          <w:szCs w:val="32"/>
          <w:lang w:eastAsia="zh-CN"/>
        </w:rPr>
        <w:t>进一步完善我厅2</w:t>
      </w:r>
      <w:r>
        <w:rPr>
          <w:rStyle w:val="24"/>
          <w:rFonts w:hint="eastAsia" w:ascii="仿宋_GB2312" w:hAnsi="仿宋_GB2312" w:eastAsia="仿宋_GB2312" w:cs="仿宋_GB2312"/>
          <w:b w:val="0"/>
          <w:bCs w:val="0"/>
          <w:spacing w:val="-4"/>
          <w:sz w:val="32"/>
          <w:szCs w:val="32"/>
          <w:lang w:val="en-US" w:eastAsia="zh-CN"/>
        </w:rPr>
        <w:t>4</w:t>
      </w:r>
      <w:r>
        <w:rPr>
          <w:rStyle w:val="24"/>
          <w:rFonts w:hint="eastAsia" w:ascii="仿宋_GB2312" w:hAnsi="仿宋_GB2312" w:eastAsia="仿宋_GB2312" w:cs="仿宋_GB2312"/>
          <w:b w:val="0"/>
          <w:bCs w:val="0"/>
          <w:spacing w:val="-4"/>
          <w:sz w:val="32"/>
          <w:szCs w:val="32"/>
          <w:lang w:eastAsia="zh-CN"/>
        </w:rPr>
        <w:t>名六十年代精简</w:t>
      </w:r>
      <w:r>
        <w:rPr>
          <w:rStyle w:val="24"/>
          <w:rFonts w:hint="eastAsia" w:ascii="仿宋_GB2312" w:hAnsi="仿宋_GB2312" w:eastAsia="仿宋_GB2312" w:cs="仿宋_GB2312"/>
          <w:b w:val="0"/>
          <w:bCs w:val="0"/>
          <w:spacing w:val="-4"/>
          <w:sz w:val="32"/>
          <w:szCs w:val="32"/>
          <w:lang w:val="en-US" w:eastAsia="zh-CN"/>
        </w:rPr>
        <w:t>退职</w:t>
      </w:r>
      <w:r>
        <w:rPr>
          <w:rStyle w:val="24"/>
          <w:rFonts w:hint="eastAsia" w:ascii="仿宋_GB2312" w:hAnsi="仿宋_GB2312" w:eastAsia="仿宋_GB2312" w:cs="仿宋_GB2312"/>
          <w:b w:val="0"/>
          <w:bCs w:val="0"/>
          <w:spacing w:val="-4"/>
          <w:sz w:val="32"/>
          <w:szCs w:val="32"/>
          <w:lang w:eastAsia="zh-CN"/>
        </w:rPr>
        <w:t>老职工基本生活保障机制，认真贯彻落实党和政府对老职工生活待遇给予的相关政策。</w:t>
      </w:r>
    </w:p>
    <w:p w14:paraId="49B88B4B">
      <w:pPr>
        <w:pStyle w:val="2"/>
        <w:pageBreakBefore w:val="0"/>
        <w:numPr>
          <w:ilvl w:val="0"/>
          <w:numId w:val="1"/>
        </w:numPr>
        <w:kinsoku/>
        <w:wordWrap/>
        <w:overflowPunct/>
        <w:topLinePunct w:val="0"/>
        <w:autoSpaceDE/>
        <w:autoSpaceDN/>
        <w:bidi w:val="0"/>
        <w:adjustRightInd/>
        <w:snapToGrid/>
        <w:spacing w:before="0" w:after="0" w:line="560" w:lineRule="exact"/>
        <w:ind w:firstLine="643" w:firstLineChars="200"/>
        <w:jc w:val="both"/>
        <w:rPr>
          <w:rFonts w:ascii="Times New Roman" w:hAnsi="Times New Roman" w:eastAsia="仿宋_GB2312"/>
          <w:kern w:val="2"/>
        </w:rPr>
      </w:pPr>
      <w:r>
        <w:rPr>
          <w:rFonts w:ascii="Times New Roman" w:hAnsi="Times New Roman" w:eastAsia="仿宋_GB2312"/>
          <w:kern w:val="2"/>
        </w:rPr>
        <w:t>项目主要内容：</w:t>
      </w:r>
    </w:p>
    <w:p w14:paraId="0B281AFD">
      <w:pPr>
        <w:pStyle w:val="21"/>
        <w:keepNext w:val="0"/>
        <w:keepLines w:val="0"/>
        <w:pageBreakBefore w:val="0"/>
        <w:kinsoku/>
        <w:wordWrap/>
        <w:overflowPunct/>
        <w:topLinePunct w:val="0"/>
        <w:autoSpaceDE/>
        <w:autoSpaceDN/>
        <w:bidi w:val="0"/>
        <w:adjustRightInd/>
        <w:snapToGrid/>
        <w:spacing w:line="560" w:lineRule="exact"/>
        <w:ind w:left="0" w:leftChars="0" w:firstLine="624" w:firstLineChars="200"/>
        <w:textAlignment w:val="auto"/>
        <w:rPr>
          <w:rStyle w:val="24"/>
          <w:rFonts w:hint="eastAsia" w:ascii="仿宋_GB2312" w:hAnsi="仿宋_GB2312" w:eastAsia="仿宋_GB2312" w:cs="仿宋_GB2312"/>
          <w:b w:val="0"/>
          <w:bCs w:val="0"/>
          <w:spacing w:val="-4"/>
          <w:kern w:val="2"/>
          <w:sz w:val="32"/>
          <w:szCs w:val="32"/>
          <w:lang w:val="en-US" w:eastAsia="zh-CN" w:bidi="ar-SA"/>
        </w:rPr>
      </w:pPr>
      <w:r>
        <w:rPr>
          <w:rStyle w:val="24"/>
          <w:rFonts w:hint="eastAsia" w:ascii="仿宋_GB2312" w:hAnsi="仿宋_GB2312" w:eastAsia="仿宋_GB2312" w:cs="仿宋_GB2312"/>
          <w:b w:val="0"/>
          <w:bCs w:val="0"/>
          <w:color w:val="auto"/>
          <w:spacing w:val="-4"/>
          <w:kern w:val="2"/>
          <w:sz w:val="32"/>
          <w:szCs w:val="32"/>
          <w:lang w:val="en-US" w:eastAsia="zh-CN" w:bidi="ar-SA"/>
        </w:rPr>
        <w:t>项目主要内容：申请发放24名“六十年代精简下放人员生活补助费”,2024年本项目安排19.01万元。</w:t>
      </w:r>
      <w:r>
        <w:rPr>
          <w:rStyle w:val="24"/>
          <w:rFonts w:hint="eastAsia" w:ascii="仿宋_GB2312" w:hAnsi="仿宋_GB2312" w:eastAsia="仿宋_GB2312" w:cs="仿宋_GB2312"/>
          <w:b w:val="0"/>
          <w:bCs w:val="0"/>
          <w:spacing w:val="-4"/>
          <w:kern w:val="2"/>
          <w:sz w:val="32"/>
          <w:szCs w:val="32"/>
          <w:lang w:val="en-US" w:eastAsia="zh-CN" w:bidi="ar-SA"/>
        </w:rPr>
        <w:t>此项目申请依据是：</w:t>
      </w:r>
      <w:r>
        <w:rPr>
          <w:rStyle w:val="24"/>
          <w:rFonts w:hint="eastAsia" w:ascii="仿宋_GB2312" w:hAnsi="仿宋_GB2312" w:eastAsia="仿宋_GB2312" w:cs="仿宋_GB2312"/>
          <w:b w:val="0"/>
          <w:bCs w:val="0"/>
          <w:color w:val="auto"/>
          <w:spacing w:val="-4"/>
          <w:kern w:val="2"/>
          <w:sz w:val="32"/>
          <w:szCs w:val="32"/>
          <w:lang w:val="en-US" w:eastAsia="zh-CN" w:bidi="ar-SA"/>
        </w:rPr>
        <w:t>根据《自治区人力资源和社会保障厅 新疆维吾尔自治区财政厅印发&lt;关于调整六十年代初期精简退职老职工生活补助费标准的通知&gt;》（新人社发</w:t>
      </w:r>
      <w:r>
        <w:rPr>
          <w:rFonts w:hint="eastAsia" w:ascii="仿宋_GB2312" w:hAnsi="仿宋" w:eastAsia="仿宋_GB2312" w:cs="宋体"/>
          <w:color w:val="auto"/>
          <w:sz w:val="32"/>
          <w:szCs w:val="32"/>
          <w:highlight w:val="none"/>
          <w:lang w:val="en-US" w:eastAsia="zh-CN" w:bidi="ar"/>
        </w:rPr>
        <w:t>〔</w:t>
      </w:r>
      <w:r>
        <w:rPr>
          <w:rStyle w:val="24"/>
          <w:rFonts w:hint="eastAsia" w:ascii="仿宋_GB2312" w:hAnsi="仿宋_GB2312" w:eastAsia="仿宋_GB2312" w:cs="仿宋_GB2312"/>
          <w:b w:val="0"/>
          <w:bCs w:val="0"/>
          <w:color w:val="auto"/>
          <w:spacing w:val="-4"/>
          <w:kern w:val="2"/>
          <w:sz w:val="32"/>
          <w:szCs w:val="32"/>
          <w:lang w:val="en-US" w:eastAsia="zh-CN" w:bidi="ar-SA"/>
        </w:rPr>
        <w:t>2019</w:t>
      </w:r>
      <w:r>
        <w:rPr>
          <w:rFonts w:hint="eastAsia" w:ascii="仿宋_GB2312" w:hAnsi="仿宋" w:eastAsia="仿宋_GB2312" w:cs="宋体"/>
          <w:color w:val="auto"/>
          <w:sz w:val="32"/>
          <w:szCs w:val="32"/>
          <w:highlight w:val="none"/>
          <w:lang w:val="en-US" w:eastAsia="zh-CN" w:bidi="ar"/>
        </w:rPr>
        <w:t>〕</w:t>
      </w:r>
      <w:r>
        <w:rPr>
          <w:rStyle w:val="24"/>
          <w:rFonts w:hint="eastAsia" w:ascii="仿宋_GB2312" w:hAnsi="仿宋_GB2312" w:eastAsia="仿宋_GB2312" w:cs="仿宋_GB2312"/>
          <w:b w:val="0"/>
          <w:bCs w:val="0"/>
          <w:color w:val="auto"/>
          <w:spacing w:val="-4"/>
          <w:kern w:val="2"/>
          <w:sz w:val="32"/>
          <w:szCs w:val="32"/>
          <w:lang w:val="en-US" w:eastAsia="zh-CN" w:bidi="ar-SA"/>
        </w:rPr>
        <w:t>32号）文件精神：“为深入贯彻习近平新时代中国特色社会主义思想和党的十九大、十九届二中、三中全会精神，庆祝新中国成立70周年，更好地保障六十年代精简退职老职工基本生活，将六十年代精简退职老职工生活补助费调整为每人每月660元，标准从2019年10月1日起执行”。</w:t>
      </w:r>
    </w:p>
    <w:p w14:paraId="1DEA629C">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right="420" w:rightChars="200" w:firstLine="640" w:firstLineChars="200"/>
        <w:textAlignment w:val="auto"/>
        <w:outlineLvl w:val="9"/>
      </w:pPr>
      <w:r>
        <w:rPr>
          <w:rFonts w:eastAsia="仿宋_GB2312"/>
          <w:sz w:val="32"/>
          <w:szCs w:val="32"/>
        </w:rPr>
        <w:t>项目实施情况：</w:t>
      </w:r>
      <w:r>
        <w:rPr>
          <w:rFonts w:hint="eastAsia" w:eastAsia="仿宋_GB2312"/>
          <w:sz w:val="32"/>
          <w:szCs w:val="32"/>
        </w:rPr>
        <w:t>因长期失联，目前有3名存在不确定性。</w:t>
      </w:r>
      <w:r>
        <w:rPr>
          <w:rStyle w:val="24"/>
          <w:rFonts w:hint="eastAsia" w:ascii="仿宋_GB2312" w:hAnsi="仿宋_GB2312" w:eastAsia="仿宋_GB2312" w:cs="仿宋_GB2312"/>
          <w:b w:val="0"/>
          <w:bCs w:val="0"/>
          <w:color w:val="auto"/>
          <w:spacing w:val="-4"/>
          <w:kern w:val="2"/>
          <w:sz w:val="32"/>
          <w:szCs w:val="32"/>
          <w:lang w:val="en-US" w:eastAsia="zh-CN" w:bidi="ar-SA"/>
        </w:rPr>
        <w:t>根据《自治区人力资源和社会保障厅 新疆维吾尔自治区财政厅印发&lt;关于调整六十年代初期精简退职老职工生活补助费标准的通知&gt;》（新人社发</w:t>
      </w:r>
      <w:r>
        <w:rPr>
          <w:rFonts w:hint="eastAsia" w:ascii="仿宋_GB2312" w:hAnsi="仿宋" w:eastAsia="仿宋_GB2312" w:cs="宋体"/>
          <w:color w:val="auto"/>
          <w:sz w:val="32"/>
          <w:szCs w:val="32"/>
          <w:highlight w:val="none"/>
          <w:lang w:val="en-US" w:eastAsia="zh-CN" w:bidi="ar"/>
        </w:rPr>
        <w:t>〔</w:t>
      </w:r>
      <w:r>
        <w:rPr>
          <w:rStyle w:val="24"/>
          <w:rFonts w:hint="eastAsia" w:ascii="仿宋_GB2312" w:hAnsi="仿宋_GB2312" w:eastAsia="仿宋_GB2312" w:cs="仿宋_GB2312"/>
          <w:b w:val="0"/>
          <w:bCs w:val="0"/>
          <w:color w:val="auto"/>
          <w:spacing w:val="-4"/>
          <w:kern w:val="2"/>
          <w:sz w:val="32"/>
          <w:szCs w:val="32"/>
          <w:lang w:val="en-US" w:eastAsia="zh-CN" w:bidi="ar-SA"/>
        </w:rPr>
        <w:t>2019</w:t>
      </w:r>
      <w:r>
        <w:rPr>
          <w:rFonts w:hint="eastAsia" w:ascii="仿宋_GB2312" w:hAnsi="仿宋" w:eastAsia="仿宋_GB2312" w:cs="宋体"/>
          <w:color w:val="auto"/>
          <w:sz w:val="32"/>
          <w:szCs w:val="32"/>
          <w:highlight w:val="none"/>
          <w:lang w:val="en-US" w:eastAsia="zh-CN" w:bidi="ar"/>
        </w:rPr>
        <w:t>〕</w:t>
      </w:r>
      <w:r>
        <w:rPr>
          <w:rStyle w:val="24"/>
          <w:rFonts w:hint="eastAsia" w:ascii="仿宋_GB2312" w:hAnsi="仿宋_GB2312" w:eastAsia="仿宋_GB2312" w:cs="仿宋_GB2312"/>
          <w:b w:val="0"/>
          <w:bCs w:val="0"/>
          <w:color w:val="auto"/>
          <w:spacing w:val="-4"/>
          <w:kern w:val="2"/>
          <w:sz w:val="32"/>
          <w:szCs w:val="32"/>
          <w:lang w:val="en-US" w:eastAsia="zh-CN" w:bidi="ar-SA"/>
        </w:rPr>
        <w:t>32号）文件精神：“为深入贯彻习近平新时代中国特色社会主义思想和</w:t>
      </w:r>
      <w:r>
        <w:rPr>
          <w:rStyle w:val="24"/>
          <w:rFonts w:hint="eastAsia" w:ascii="仿宋_GB2312" w:hAnsi="仿宋_GB2312" w:eastAsia="仿宋_GB2312" w:cs="仿宋_GB2312"/>
          <w:b w:val="0"/>
          <w:bCs w:val="0"/>
          <w:spacing w:val="-4"/>
          <w:sz w:val="32"/>
          <w:szCs w:val="32"/>
          <w:lang w:eastAsia="zh-CN"/>
        </w:rPr>
        <w:t>党的十九大、十九届二中、三中全会精神，庆祝新中国成立70周年，更好地保障六十年代精简退职老职工基本生活，将六十年代精简退职老职工生活补助费调整为每人每月660元，标准从2019年10月1日起执行”。发放了</w:t>
      </w:r>
      <w:r>
        <w:rPr>
          <w:rStyle w:val="24"/>
          <w:rFonts w:hint="eastAsia" w:ascii="仿宋_GB2312" w:hAnsi="仿宋_GB2312" w:eastAsia="仿宋_GB2312" w:cs="仿宋_GB2312"/>
          <w:b w:val="0"/>
          <w:bCs w:val="0"/>
          <w:spacing w:val="-4"/>
          <w:sz w:val="32"/>
          <w:szCs w:val="32"/>
          <w:lang w:val="en-US" w:eastAsia="zh-CN"/>
        </w:rPr>
        <w:t>六十年代精简退职老职工20</w:t>
      </w:r>
      <w:r>
        <w:rPr>
          <w:rStyle w:val="24"/>
          <w:rFonts w:hint="default" w:ascii="仿宋_GB2312" w:hAnsi="仿宋_GB2312" w:eastAsia="仿宋_GB2312" w:cs="仿宋_GB2312"/>
          <w:b w:val="0"/>
          <w:bCs w:val="0"/>
          <w:spacing w:val="-4"/>
          <w:sz w:val="32"/>
          <w:szCs w:val="32"/>
          <w:lang w:val="en" w:eastAsia="zh-CN"/>
        </w:rPr>
        <w:t>2</w:t>
      </w:r>
      <w:r>
        <w:rPr>
          <w:rStyle w:val="24"/>
          <w:rFonts w:hint="eastAsia" w:ascii="仿宋_GB2312" w:hAnsi="仿宋_GB2312" w:eastAsia="仿宋_GB2312" w:cs="仿宋_GB2312"/>
          <w:b w:val="0"/>
          <w:bCs w:val="0"/>
          <w:spacing w:val="-4"/>
          <w:sz w:val="32"/>
          <w:szCs w:val="32"/>
          <w:lang w:val="en-US" w:eastAsia="zh-CN"/>
        </w:rPr>
        <w:t>4年1月-2024年</w:t>
      </w:r>
      <w:r>
        <w:rPr>
          <w:rStyle w:val="24"/>
          <w:rFonts w:hint="default" w:ascii="仿宋_GB2312" w:hAnsi="仿宋_GB2312" w:eastAsia="仿宋_GB2312" w:cs="仿宋_GB2312"/>
          <w:b w:val="0"/>
          <w:bCs w:val="0"/>
          <w:spacing w:val="-4"/>
          <w:sz w:val="32"/>
          <w:szCs w:val="32"/>
          <w:lang w:val="en" w:eastAsia="zh-CN"/>
        </w:rPr>
        <w:t>12</w:t>
      </w:r>
      <w:r>
        <w:rPr>
          <w:rStyle w:val="24"/>
          <w:rFonts w:hint="eastAsia" w:ascii="仿宋_GB2312" w:hAnsi="仿宋_GB2312" w:eastAsia="仿宋_GB2312" w:cs="仿宋_GB2312"/>
          <w:b w:val="0"/>
          <w:bCs w:val="0"/>
          <w:spacing w:val="-4"/>
          <w:sz w:val="32"/>
          <w:szCs w:val="32"/>
          <w:lang w:val="en-US" w:eastAsia="zh-CN"/>
        </w:rPr>
        <w:t>月生活费，</w:t>
      </w:r>
      <w:r>
        <w:rPr>
          <w:rStyle w:val="24"/>
          <w:rFonts w:hint="eastAsia" w:ascii="仿宋_GB2312" w:hAnsi="仿宋_GB2312" w:eastAsia="仿宋_GB2312" w:cs="仿宋_GB2312"/>
          <w:b w:val="0"/>
          <w:bCs w:val="0"/>
          <w:spacing w:val="-4"/>
          <w:sz w:val="32"/>
          <w:szCs w:val="32"/>
          <w:lang w:eastAsia="zh-CN"/>
        </w:rPr>
        <w:t>该项目202</w:t>
      </w:r>
      <w:r>
        <w:rPr>
          <w:rStyle w:val="24"/>
          <w:rFonts w:hint="eastAsia" w:ascii="仿宋_GB2312" w:hAnsi="仿宋_GB2312" w:eastAsia="仿宋_GB2312" w:cs="仿宋_GB2312"/>
          <w:b w:val="0"/>
          <w:bCs w:val="0"/>
          <w:spacing w:val="-4"/>
          <w:sz w:val="32"/>
          <w:szCs w:val="32"/>
          <w:lang w:val="en-US" w:eastAsia="zh-CN"/>
        </w:rPr>
        <w:t>4</w:t>
      </w:r>
      <w:r>
        <w:rPr>
          <w:rStyle w:val="24"/>
          <w:rFonts w:hint="eastAsia" w:ascii="仿宋_GB2312" w:hAnsi="仿宋_GB2312" w:eastAsia="仿宋_GB2312" w:cs="仿宋_GB2312"/>
          <w:b w:val="0"/>
          <w:bCs w:val="0"/>
          <w:spacing w:val="-4"/>
          <w:sz w:val="32"/>
          <w:szCs w:val="32"/>
          <w:lang w:eastAsia="zh-CN"/>
        </w:rPr>
        <w:t>年由工信厅离退休干部工作处具体核实发放。</w:t>
      </w:r>
    </w:p>
    <w:p w14:paraId="1B46BE15">
      <w:pPr>
        <w:pageBreakBefore w:val="0"/>
        <w:kinsoku/>
        <w:wordWrap/>
        <w:overflowPunct/>
        <w:topLinePunct w:val="0"/>
        <w:autoSpaceDE/>
        <w:autoSpaceDN/>
        <w:bidi w:val="0"/>
        <w:adjustRightInd/>
        <w:snapToGrid/>
        <w:spacing w:line="560" w:lineRule="exact"/>
        <w:ind w:firstLine="640" w:firstLineChars="200"/>
        <w:rPr>
          <w:rFonts w:eastAsia="仿宋_GB2312"/>
          <w:sz w:val="32"/>
          <w:szCs w:val="32"/>
        </w:rPr>
      </w:pPr>
      <w:r>
        <w:rPr>
          <w:rFonts w:eastAsia="仿宋_GB2312"/>
          <w:sz w:val="32"/>
          <w:szCs w:val="32"/>
        </w:rPr>
        <w:t>本项目总投资</w:t>
      </w:r>
      <w:r>
        <w:rPr>
          <w:rFonts w:hint="eastAsia" w:eastAsia="仿宋_GB2312"/>
          <w:sz w:val="32"/>
          <w:szCs w:val="32"/>
          <w:lang w:val="en-US" w:eastAsia="zh-CN"/>
        </w:rPr>
        <w:t>19.01</w:t>
      </w:r>
      <w:r>
        <w:rPr>
          <w:rFonts w:eastAsia="仿宋_GB2312"/>
          <w:sz w:val="32"/>
          <w:szCs w:val="32"/>
        </w:rPr>
        <w:t>万元，其中：财政本级资金</w:t>
      </w:r>
      <w:r>
        <w:rPr>
          <w:rFonts w:hint="eastAsia" w:eastAsia="仿宋_GB2312"/>
          <w:sz w:val="32"/>
          <w:szCs w:val="32"/>
          <w:lang w:val="en-US" w:eastAsia="zh-CN"/>
        </w:rPr>
        <w:t>19.01</w:t>
      </w:r>
      <w:r>
        <w:rPr>
          <w:rFonts w:eastAsia="仿宋_GB2312"/>
          <w:sz w:val="32"/>
          <w:szCs w:val="32"/>
        </w:rPr>
        <w:t>万元。项目实际支出</w:t>
      </w:r>
      <w:r>
        <w:rPr>
          <w:rFonts w:hint="eastAsia" w:eastAsia="仿宋_GB2312"/>
          <w:sz w:val="32"/>
          <w:szCs w:val="32"/>
          <w:lang w:val="en-US" w:eastAsia="zh-CN"/>
        </w:rPr>
        <w:t>19.01</w:t>
      </w:r>
      <w:r>
        <w:rPr>
          <w:rFonts w:eastAsia="仿宋_GB2312"/>
          <w:sz w:val="32"/>
          <w:szCs w:val="32"/>
        </w:rPr>
        <w:t>万元，支出率为100%。</w:t>
      </w:r>
    </w:p>
    <w:p w14:paraId="317A059D">
      <w:pPr>
        <w:pageBreakBefore w:val="0"/>
        <w:kinsoku/>
        <w:wordWrap/>
        <w:overflowPunct/>
        <w:topLinePunct w:val="0"/>
        <w:autoSpaceDE/>
        <w:autoSpaceDN/>
        <w:bidi w:val="0"/>
        <w:adjustRightInd/>
        <w:snapToGrid/>
        <w:spacing w:line="560" w:lineRule="exact"/>
        <w:ind w:firstLine="643" w:firstLineChars="200"/>
        <w:rPr>
          <w:rFonts w:eastAsia="仿宋_GB2312"/>
          <w:b/>
          <w:bCs/>
          <w:sz w:val="32"/>
          <w:szCs w:val="32"/>
        </w:rPr>
      </w:pPr>
      <w:r>
        <w:rPr>
          <w:rFonts w:eastAsia="仿宋_GB2312"/>
          <w:b/>
          <w:bCs/>
          <w:sz w:val="32"/>
          <w:szCs w:val="32"/>
        </w:rPr>
        <w:t>3、资金投入和使用情况</w:t>
      </w:r>
      <w:bookmarkStart w:id="2" w:name="_GoBack"/>
      <w:bookmarkEnd w:id="2"/>
    </w:p>
    <w:p w14:paraId="1F2D526D">
      <w:pPr>
        <w:pageBreakBefore w:val="0"/>
        <w:kinsoku/>
        <w:wordWrap/>
        <w:overflowPunct/>
        <w:topLinePunct w:val="0"/>
        <w:autoSpaceDE/>
        <w:autoSpaceDN/>
        <w:bidi w:val="0"/>
        <w:adjustRightInd/>
        <w:snapToGrid/>
        <w:spacing w:line="560" w:lineRule="exact"/>
        <w:ind w:firstLine="640" w:firstLineChars="200"/>
        <w:rPr>
          <w:rFonts w:eastAsia="仿宋_GB2312"/>
          <w:sz w:val="20"/>
          <w:szCs w:val="20"/>
        </w:rPr>
      </w:pPr>
      <w:r>
        <w:rPr>
          <w:rFonts w:eastAsia="仿宋_GB2312"/>
          <w:sz w:val="32"/>
          <w:szCs w:val="32"/>
        </w:rPr>
        <w:t>（1）资金</w:t>
      </w:r>
      <w:r>
        <w:rPr>
          <w:rFonts w:hint="eastAsia" w:eastAsia="仿宋_GB2312"/>
          <w:sz w:val="32"/>
          <w:szCs w:val="32"/>
          <w:lang w:eastAsia="zh-CN"/>
        </w:rPr>
        <w:t>投入</w:t>
      </w:r>
      <w:r>
        <w:rPr>
          <w:rFonts w:eastAsia="仿宋_GB2312"/>
          <w:sz w:val="32"/>
          <w:szCs w:val="32"/>
        </w:rPr>
        <w:t>安排</w:t>
      </w:r>
    </w:p>
    <w:p w14:paraId="101B899F">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该项目年初预算数19.01万元，全年预算数19.01万元，实际总投入19.01万元，该项目资金已全部落实到位，资金来源为财政拨款。</w:t>
      </w:r>
    </w:p>
    <w:p w14:paraId="3219C7DB">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b w:val="0"/>
          <w:bCs w:val="0"/>
          <w:kern w:val="2"/>
          <w:sz w:val="32"/>
          <w:szCs w:val="32"/>
          <w:highlight w:val="none"/>
          <w:lang w:val="en-US" w:eastAsia="zh-CN" w:bidi="ar-SA"/>
        </w:rPr>
        <w:t>资金使用情况</w:t>
      </w:r>
    </w:p>
    <w:p w14:paraId="246889D2">
      <w:pPr>
        <w:pStyle w:val="2"/>
        <w:pageBreakBefore w:val="0"/>
        <w:kinsoku/>
        <w:wordWrap/>
        <w:overflowPunct/>
        <w:topLinePunct w:val="0"/>
        <w:autoSpaceDE/>
        <w:autoSpaceDN/>
        <w:bidi w:val="0"/>
        <w:adjustRightInd/>
        <w:snapToGrid/>
        <w:spacing w:before="0" w:after="0" w:line="560" w:lineRule="exact"/>
        <w:ind w:firstLine="640" w:firstLineChars="200"/>
        <w:jc w:val="both"/>
        <w:rPr>
          <w:rFonts w:ascii="Times New Roman" w:hAnsi="Times New Roman" w:eastAsia="仿宋_GB2312"/>
          <w:b w:val="0"/>
          <w:bCs w:val="0"/>
          <w:kern w:val="2"/>
        </w:rPr>
      </w:pPr>
      <w:r>
        <w:rPr>
          <w:rFonts w:hint="eastAsia" w:ascii="仿宋_GB2312" w:hAnsi="仿宋_GB2312" w:eastAsia="仿宋_GB2312" w:cs="仿宋_GB2312"/>
          <w:b w:val="0"/>
          <w:bCs w:val="0"/>
          <w:kern w:val="2"/>
          <w:sz w:val="32"/>
          <w:szCs w:val="32"/>
          <w:highlight w:val="none"/>
          <w:lang w:val="en-US" w:eastAsia="zh-CN" w:bidi="ar-SA"/>
        </w:rPr>
        <w:t>该项目年初预算数19.01万元，全年预算数19.01万元,全年执行数19.01万元，预算执行率为100%，主要用于：发放六十年代精简退职老职工基本生活补助费用</w:t>
      </w:r>
      <w:r>
        <w:rPr>
          <w:rFonts w:ascii="Times New Roman" w:hAnsi="Times New Roman" w:eastAsia="仿宋_GB2312"/>
          <w:b w:val="0"/>
          <w:bCs w:val="0"/>
          <w:kern w:val="2"/>
        </w:rPr>
        <w:t>。</w:t>
      </w:r>
    </w:p>
    <w:p w14:paraId="795D0999">
      <w:pPr>
        <w:pageBreakBefore w:val="0"/>
        <w:kinsoku/>
        <w:wordWrap/>
        <w:overflowPunct/>
        <w:topLinePunct w:val="0"/>
        <w:autoSpaceDE/>
        <w:autoSpaceDN/>
        <w:bidi w:val="0"/>
        <w:adjustRightInd/>
        <w:snapToGrid/>
        <w:spacing w:line="560" w:lineRule="exact"/>
        <w:ind w:firstLine="643" w:firstLineChars="200"/>
        <w:rPr>
          <w:rFonts w:eastAsia="楷体_GB2312"/>
          <w:b/>
          <w:bCs/>
          <w:sz w:val="32"/>
          <w:szCs w:val="32"/>
        </w:rPr>
      </w:pPr>
      <w:r>
        <w:rPr>
          <w:rFonts w:eastAsia="楷体_GB2312"/>
          <w:b/>
          <w:bCs/>
          <w:sz w:val="32"/>
          <w:szCs w:val="32"/>
        </w:rPr>
        <w:t>（二）项目绩效目标</w:t>
      </w:r>
    </w:p>
    <w:p w14:paraId="03DBC0FE">
      <w:pPr>
        <w:pageBreakBefore w:val="0"/>
        <w:kinsoku/>
        <w:wordWrap/>
        <w:overflowPunct/>
        <w:topLinePunct w:val="0"/>
        <w:autoSpaceDE/>
        <w:autoSpaceDN/>
        <w:bidi w:val="0"/>
        <w:adjustRightInd/>
        <w:snapToGrid/>
        <w:spacing w:line="560" w:lineRule="exact"/>
        <w:ind w:firstLine="640" w:firstLineChars="200"/>
        <w:rPr>
          <w:rFonts w:eastAsia="仿宋_GB2312"/>
          <w:sz w:val="32"/>
          <w:szCs w:val="32"/>
        </w:rPr>
      </w:pPr>
      <w:r>
        <w:rPr>
          <w:rFonts w:eastAsia="仿宋_GB2312"/>
          <w:sz w:val="32"/>
          <w:szCs w:val="32"/>
        </w:rPr>
        <w:t>1、总体目标</w:t>
      </w:r>
    </w:p>
    <w:p w14:paraId="48FE8D69">
      <w:pPr>
        <w:pageBreakBefore w:val="0"/>
        <w:kinsoku/>
        <w:wordWrap/>
        <w:overflowPunct/>
        <w:topLinePunct w:val="0"/>
        <w:autoSpaceDE/>
        <w:autoSpaceDN/>
        <w:bidi w:val="0"/>
        <w:adjustRightInd/>
        <w:snapToGrid/>
        <w:spacing w:line="560" w:lineRule="exact"/>
        <w:ind w:firstLine="640" w:firstLineChars="200"/>
        <w:rPr>
          <w:rFonts w:hint="eastAsia" w:eastAsia="仿宋_GB2312"/>
          <w:sz w:val="32"/>
          <w:szCs w:val="32"/>
        </w:rPr>
      </w:pPr>
      <w:r>
        <w:rPr>
          <w:rFonts w:hint="eastAsia" w:eastAsia="仿宋_GB2312"/>
          <w:sz w:val="32"/>
          <w:szCs w:val="32"/>
        </w:rPr>
        <w:t>（1）完善六十年代精简退职老职工基本生活保障机制，认真贯彻落实党和政府对老职工生活待遇给予的相关政策。</w:t>
      </w:r>
    </w:p>
    <w:p w14:paraId="778D188F">
      <w:pPr>
        <w:pageBreakBefore w:val="0"/>
        <w:kinsoku/>
        <w:wordWrap/>
        <w:overflowPunct/>
        <w:topLinePunct w:val="0"/>
        <w:autoSpaceDE/>
        <w:autoSpaceDN/>
        <w:bidi w:val="0"/>
        <w:adjustRightInd/>
        <w:snapToGrid/>
        <w:spacing w:line="560" w:lineRule="exact"/>
        <w:ind w:firstLine="640" w:firstLineChars="200"/>
        <w:rPr>
          <w:rFonts w:hint="eastAsia" w:eastAsia="仿宋_GB2312"/>
          <w:sz w:val="32"/>
          <w:szCs w:val="32"/>
        </w:rPr>
      </w:pPr>
      <w:r>
        <w:rPr>
          <w:rFonts w:hint="eastAsia" w:eastAsia="仿宋_GB2312"/>
          <w:sz w:val="32"/>
          <w:szCs w:val="32"/>
        </w:rPr>
        <w:t>（2）建立健全对老职工管理、监督机制，提高规范化管理水平和服务质量。</w:t>
      </w:r>
    </w:p>
    <w:p w14:paraId="73E37633">
      <w:pPr>
        <w:pageBreakBefore w:val="0"/>
        <w:kinsoku/>
        <w:wordWrap/>
        <w:overflowPunct/>
        <w:topLinePunct w:val="0"/>
        <w:autoSpaceDE/>
        <w:autoSpaceDN/>
        <w:bidi w:val="0"/>
        <w:adjustRightInd/>
        <w:snapToGrid/>
        <w:spacing w:line="560" w:lineRule="exact"/>
        <w:ind w:firstLine="640" w:firstLineChars="200"/>
      </w:pPr>
      <w:r>
        <w:rPr>
          <w:rFonts w:eastAsia="仿宋_GB2312"/>
          <w:sz w:val="32"/>
          <w:szCs w:val="32"/>
        </w:rPr>
        <w:t>2、阶段性目标</w:t>
      </w:r>
    </w:p>
    <w:p w14:paraId="198DD59A">
      <w:pPr>
        <w:pageBreakBefore w:val="0"/>
        <w:kinsoku/>
        <w:wordWrap/>
        <w:overflowPunct/>
        <w:topLinePunct w:val="0"/>
        <w:autoSpaceDE/>
        <w:autoSpaceDN/>
        <w:bidi w:val="0"/>
        <w:adjustRightInd/>
        <w:snapToGrid/>
        <w:spacing w:line="560" w:lineRule="exact"/>
        <w:ind w:firstLine="640" w:firstLineChars="200"/>
        <w:rPr>
          <w:rFonts w:eastAsia="仿宋_GB2312"/>
          <w:sz w:val="32"/>
          <w:szCs w:val="32"/>
        </w:rPr>
      </w:pPr>
      <w:r>
        <w:rPr>
          <w:rFonts w:eastAsia="仿宋_GB2312"/>
          <w:sz w:val="32"/>
          <w:szCs w:val="32"/>
        </w:rPr>
        <w:t>（1）前期准备：通过制定项目实施方案，经项目负责人审核通过后，有序开展后续工作。</w:t>
      </w:r>
    </w:p>
    <w:p w14:paraId="1EFC3957">
      <w:pPr>
        <w:pageBreakBefore w:val="0"/>
        <w:kinsoku/>
        <w:wordWrap/>
        <w:overflowPunct/>
        <w:topLinePunct w:val="0"/>
        <w:autoSpaceDE/>
        <w:autoSpaceDN/>
        <w:bidi w:val="0"/>
        <w:adjustRightInd/>
        <w:snapToGrid/>
        <w:spacing w:line="560" w:lineRule="exact"/>
        <w:ind w:firstLine="640" w:firstLineChars="200"/>
        <w:rPr>
          <w:rFonts w:eastAsia="仿宋_GB2312"/>
          <w:sz w:val="32"/>
          <w:szCs w:val="32"/>
        </w:rPr>
      </w:pPr>
      <w:r>
        <w:rPr>
          <w:rFonts w:eastAsia="仿宋_GB2312"/>
          <w:sz w:val="32"/>
          <w:szCs w:val="32"/>
        </w:rPr>
        <w:t>（2）组织实施：资金一到位，立即根据项目要求实施项目。项目责任人按照项目实施方案要求逐一进行项目部署，提高项目质量及效率。</w:t>
      </w:r>
    </w:p>
    <w:p w14:paraId="3CE95491">
      <w:pPr>
        <w:pageBreakBefore w:val="0"/>
        <w:kinsoku/>
        <w:wordWrap/>
        <w:overflowPunct/>
        <w:topLinePunct w:val="0"/>
        <w:autoSpaceDE/>
        <w:autoSpaceDN/>
        <w:bidi w:val="0"/>
        <w:adjustRightInd/>
        <w:snapToGrid/>
        <w:spacing w:line="560" w:lineRule="exact"/>
        <w:ind w:firstLine="640" w:firstLineChars="200"/>
        <w:rPr>
          <w:rFonts w:eastAsia="黑体"/>
          <w:sz w:val="32"/>
          <w:szCs w:val="32"/>
        </w:rPr>
      </w:pPr>
      <w:r>
        <w:rPr>
          <w:rFonts w:eastAsia="黑体"/>
          <w:sz w:val="32"/>
          <w:szCs w:val="32"/>
        </w:rPr>
        <w:t>二、绩效评价工作开展情况</w:t>
      </w:r>
    </w:p>
    <w:p w14:paraId="322A38C4">
      <w:pPr>
        <w:pageBreakBefore w:val="0"/>
        <w:kinsoku/>
        <w:wordWrap/>
        <w:overflowPunct/>
        <w:topLinePunct w:val="0"/>
        <w:autoSpaceDE/>
        <w:autoSpaceDN/>
        <w:bidi w:val="0"/>
        <w:adjustRightInd/>
        <w:snapToGrid/>
        <w:spacing w:line="560" w:lineRule="exact"/>
        <w:ind w:firstLine="643" w:firstLineChars="200"/>
        <w:rPr>
          <w:rFonts w:eastAsia="楷体_GB2312"/>
          <w:b/>
          <w:bCs/>
          <w:sz w:val="32"/>
          <w:szCs w:val="32"/>
        </w:rPr>
      </w:pPr>
      <w:r>
        <w:rPr>
          <w:rFonts w:eastAsia="楷体_GB2312"/>
          <w:b/>
          <w:bCs/>
          <w:sz w:val="32"/>
          <w:szCs w:val="32"/>
        </w:rPr>
        <w:t>（一）绩效评价目的、对象和范围</w:t>
      </w:r>
    </w:p>
    <w:p w14:paraId="1F6EDBA9">
      <w:pPr>
        <w:pStyle w:val="2"/>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eastAsia" w:ascii="Times New Roman" w:hAnsi="Times New Roman" w:eastAsia="仿宋_GB2312"/>
          <w:b w:val="0"/>
          <w:bCs w:val="0"/>
        </w:rPr>
      </w:pPr>
      <w:r>
        <w:rPr>
          <w:rFonts w:hint="eastAsia" w:ascii="Times New Roman" w:hAnsi="Times New Roman" w:eastAsia="仿宋_GB2312"/>
          <w:b w:val="0"/>
          <w:bCs w:val="0"/>
        </w:rPr>
        <w:t>1、绩效评价的目的</w:t>
      </w:r>
    </w:p>
    <w:p w14:paraId="07B52287">
      <w:pPr>
        <w:pStyle w:val="2"/>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eastAsia" w:ascii="Times New Roman" w:hAnsi="Times New Roman" w:eastAsia="仿宋_GB2312"/>
          <w:b w:val="0"/>
          <w:bCs w:val="0"/>
        </w:rPr>
      </w:pPr>
      <w:r>
        <w:rPr>
          <w:rFonts w:hint="eastAsia" w:ascii="Times New Roman" w:hAnsi="Times New Roman" w:eastAsia="仿宋_GB2312"/>
          <w:b w:val="0"/>
          <w:bCs w:val="0"/>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42313153">
      <w:pPr>
        <w:pStyle w:val="2"/>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eastAsia" w:ascii="Times New Roman" w:hAnsi="Times New Roman" w:eastAsia="仿宋_GB2312"/>
          <w:b w:val="0"/>
          <w:bCs w:val="0"/>
        </w:rPr>
      </w:pPr>
      <w:r>
        <w:rPr>
          <w:rFonts w:hint="eastAsia" w:ascii="Times New Roman" w:hAnsi="Times New Roman" w:eastAsia="仿宋_GB2312"/>
          <w:b w:val="0"/>
          <w:bCs w:val="0"/>
        </w:rPr>
        <w:t>（1）项目在实施前向项目负责人提供财政支出绩效方面的资金管理信息，促进项目支出严格按照资金管理规定</w:t>
      </w:r>
      <w:r>
        <w:rPr>
          <w:rFonts w:hint="eastAsia" w:ascii="Times New Roman" w:hAnsi="Times New Roman" w:eastAsia="仿宋_GB2312"/>
          <w:b w:val="0"/>
          <w:bCs w:val="0"/>
          <w:lang w:val="en-US" w:eastAsia="zh-CN"/>
        </w:rPr>
        <w:t>执行</w:t>
      </w:r>
      <w:r>
        <w:rPr>
          <w:rFonts w:hint="eastAsia" w:ascii="Times New Roman" w:hAnsi="Times New Roman" w:eastAsia="仿宋_GB2312"/>
          <w:b w:val="0"/>
          <w:bCs w:val="0"/>
        </w:rPr>
        <w:t>。</w:t>
      </w:r>
    </w:p>
    <w:p w14:paraId="15B7AFFE">
      <w:pPr>
        <w:pStyle w:val="2"/>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eastAsia" w:ascii="Times New Roman" w:hAnsi="Times New Roman" w:eastAsia="仿宋_GB2312"/>
          <w:b w:val="0"/>
          <w:bCs w:val="0"/>
        </w:rPr>
      </w:pPr>
      <w:r>
        <w:rPr>
          <w:rFonts w:hint="eastAsia" w:ascii="Times New Roman" w:hAnsi="Times New Roman" w:eastAsia="仿宋_GB2312"/>
          <w:b w:val="0"/>
          <w:bCs w:val="0"/>
        </w:rPr>
        <w:t>（2）项目绩效管理</w:t>
      </w:r>
      <w:r>
        <w:rPr>
          <w:rFonts w:hint="eastAsia" w:ascii="Times New Roman" w:hAnsi="Times New Roman" w:eastAsia="仿宋_GB2312"/>
          <w:b w:val="0"/>
          <w:bCs w:val="0"/>
          <w:lang w:val="en-US" w:eastAsia="zh-CN"/>
        </w:rPr>
        <w:t>为</w:t>
      </w:r>
      <w:r>
        <w:rPr>
          <w:rFonts w:hint="eastAsia" w:ascii="Times New Roman" w:hAnsi="Times New Roman" w:eastAsia="仿宋_GB2312"/>
          <w:b w:val="0"/>
          <w:bCs w:val="0"/>
        </w:rPr>
        <w:t>财政支出运行提供及时、有效的信息。</w:t>
      </w:r>
    </w:p>
    <w:p w14:paraId="23305579">
      <w:pPr>
        <w:pageBreakBefore w:val="0"/>
        <w:kinsoku/>
        <w:wordWrap/>
        <w:overflowPunct/>
        <w:topLinePunct w:val="0"/>
        <w:autoSpaceDE/>
        <w:autoSpaceDN/>
        <w:bidi w:val="0"/>
        <w:adjustRightInd/>
        <w:snapToGrid/>
        <w:spacing w:line="560" w:lineRule="exact"/>
        <w:ind w:firstLine="640" w:firstLineChars="200"/>
        <w:rPr>
          <w:rFonts w:hint="eastAsia"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综合来看，通过开展有效的财政支出绩效评价管理，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14:paraId="31B46103">
      <w:pPr>
        <w:pStyle w:val="2"/>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2、绩效评价的对象</w:t>
      </w:r>
    </w:p>
    <w:p w14:paraId="6D52028B">
      <w:pPr>
        <w:pageBreakBefore w:val="0"/>
        <w:kinsoku/>
        <w:wordWrap/>
        <w:overflowPunct/>
        <w:topLinePunct w:val="0"/>
        <w:autoSpaceDE/>
        <w:autoSpaceDN/>
        <w:bidi w:val="0"/>
        <w:adjustRightInd/>
        <w:snapToGrid/>
        <w:spacing w:line="560" w:lineRule="exact"/>
        <w:ind w:firstLine="640" w:firstLineChars="200"/>
        <w:rPr>
          <w:rFonts w:hint="eastAsia" w:eastAsia="仿宋_GB2312"/>
          <w:sz w:val="32"/>
          <w:szCs w:val="32"/>
        </w:rPr>
      </w:pPr>
      <w:r>
        <w:rPr>
          <w:rFonts w:hint="eastAsia" w:eastAsia="仿宋_GB2312"/>
          <w:sz w:val="32"/>
          <w:szCs w:val="32"/>
          <w:lang w:eastAsia="zh-CN"/>
        </w:rPr>
        <w:t>六十年代精简退职老职工生活补助费</w:t>
      </w:r>
      <w:r>
        <w:rPr>
          <w:rFonts w:hint="eastAsia" w:eastAsia="仿宋_GB2312"/>
          <w:sz w:val="32"/>
          <w:szCs w:val="32"/>
        </w:rPr>
        <w:t>项目所包含的全部项目内容。</w:t>
      </w:r>
    </w:p>
    <w:p w14:paraId="72FF2B38">
      <w:pPr>
        <w:pStyle w:val="2"/>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3、绩效评价的范围</w:t>
      </w:r>
    </w:p>
    <w:p w14:paraId="59ABBB10">
      <w:pPr>
        <w:pageBreakBefore w:val="0"/>
        <w:kinsoku/>
        <w:wordWrap/>
        <w:overflowPunct/>
        <w:topLinePunct w:val="0"/>
        <w:autoSpaceDE/>
        <w:autoSpaceDN/>
        <w:bidi w:val="0"/>
        <w:adjustRightInd/>
        <w:snapToGrid/>
        <w:spacing w:line="560" w:lineRule="exact"/>
        <w:ind w:firstLine="640" w:firstLineChars="200"/>
        <w:rPr>
          <w:rFonts w:hint="eastAsia" w:eastAsia="仿宋_GB2312"/>
          <w:sz w:val="32"/>
          <w:szCs w:val="32"/>
          <w:lang w:eastAsia="zh-CN"/>
        </w:rPr>
      </w:pPr>
      <w:r>
        <w:rPr>
          <w:rFonts w:hint="eastAsia" w:eastAsia="仿宋_GB2312"/>
          <w:sz w:val="32"/>
          <w:szCs w:val="32"/>
          <w:lang w:eastAsia="zh-CN"/>
        </w:rPr>
        <w:t>本次评价从项目决策（包括绩效目标、决策过程）、项目过程（包括项目资金、项目实施）、项目产出（包括项目产出数量、产出质量、产出时效和产出成本）、项目效益四个维度进行“六十年代精简下放人员生活费”评价，评价核心为专项资金的支出完成情况和效果。</w:t>
      </w:r>
    </w:p>
    <w:p w14:paraId="49F491EA">
      <w:pPr>
        <w:pageBreakBefore w:val="0"/>
        <w:kinsoku/>
        <w:wordWrap/>
        <w:overflowPunct/>
        <w:topLinePunct w:val="0"/>
        <w:autoSpaceDE/>
        <w:autoSpaceDN/>
        <w:bidi w:val="0"/>
        <w:adjustRightInd/>
        <w:snapToGrid/>
        <w:spacing w:line="560" w:lineRule="exact"/>
        <w:ind w:firstLine="643" w:firstLineChars="200"/>
      </w:pPr>
      <w:r>
        <w:rPr>
          <w:rFonts w:eastAsia="楷体_GB2312"/>
          <w:b/>
          <w:bCs/>
          <w:sz w:val="32"/>
          <w:szCs w:val="32"/>
        </w:rPr>
        <w:t>（二）绩效评价原则、评价指标体系（详情见表1）、评价方法、评价标准。</w:t>
      </w:r>
    </w:p>
    <w:p w14:paraId="7548C154">
      <w:pPr>
        <w:pStyle w:val="2"/>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1、绩效评价原则</w:t>
      </w:r>
    </w:p>
    <w:p w14:paraId="68990CB5">
      <w:pPr>
        <w:pageBreakBefore w:val="0"/>
        <w:kinsoku/>
        <w:wordWrap/>
        <w:overflowPunct/>
        <w:topLinePunct w:val="0"/>
        <w:autoSpaceDE/>
        <w:autoSpaceDN/>
        <w:bidi w:val="0"/>
        <w:adjustRightInd/>
        <w:snapToGrid/>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14:paraId="2272B750">
      <w:pPr>
        <w:pStyle w:val="2"/>
        <w:pageBreakBefore w:val="0"/>
        <w:kinsoku/>
        <w:wordWrap/>
        <w:overflowPunct/>
        <w:topLinePunct w:val="0"/>
        <w:autoSpaceDE/>
        <w:autoSpaceDN/>
        <w:bidi w:val="0"/>
        <w:adjustRightInd/>
        <w:snapToGrid/>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14:paraId="6ADCE3F0">
      <w:pPr>
        <w:pStyle w:val="2"/>
        <w:pageBreakBefore w:val="0"/>
        <w:kinsoku/>
        <w:wordWrap/>
        <w:overflowPunct/>
        <w:topLinePunct w:val="0"/>
        <w:autoSpaceDE/>
        <w:autoSpaceDN/>
        <w:bidi w:val="0"/>
        <w:adjustRightInd/>
        <w:snapToGrid/>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14:paraId="35F05A86">
      <w:pPr>
        <w:pStyle w:val="2"/>
        <w:pageBreakBefore w:val="0"/>
        <w:kinsoku/>
        <w:wordWrap/>
        <w:overflowPunct/>
        <w:topLinePunct w:val="0"/>
        <w:autoSpaceDE/>
        <w:autoSpaceDN/>
        <w:bidi w:val="0"/>
        <w:adjustRightInd/>
        <w:snapToGrid/>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14:paraId="3324EF1A">
      <w:pPr>
        <w:pStyle w:val="2"/>
        <w:pageBreakBefore w:val="0"/>
        <w:kinsoku/>
        <w:wordWrap/>
        <w:overflowPunct/>
        <w:topLinePunct w:val="0"/>
        <w:autoSpaceDE/>
        <w:autoSpaceDN/>
        <w:bidi w:val="0"/>
        <w:adjustRightInd/>
        <w:snapToGrid/>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14:paraId="1FB82452">
      <w:pPr>
        <w:pStyle w:val="2"/>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2、评价指标体系</w:t>
      </w:r>
    </w:p>
    <w:p w14:paraId="3B93FB63">
      <w:pPr>
        <w:pageBreakBefore w:val="0"/>
        <w:kinsoku/>
        <w:wordWrap/>
        <w:overflowPunct/>
        <w:topLinePunct w:val="0"/>
        <w:autoSpaceDE/>
        <w:autoSpaceDN/>
        <w:bidi w:val="0"/>
        <w:adjustRightInd/>
        <w:snapToGrid/>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14:paraId="0808A01D">
      <w:pPr>
        <w:pageBreakBefore w:val="0"/>
        <w:kinsoku/>
        <w:wordWrap/>
        <w:overflowPunct/>
        <w:topLinePunct w:val="0"/>
        <w:autoSpaceDE/>
        <w:autoSpaceDN/>
        <w:bidi w:val="0"/>
        <w:adjustRightInd/>
        <w:snapToGrid/>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14:paraId="16A8779A">
      <w:pPr>
        <w:pageBreakBefore w:val="0"/>
        <w:kinsoku/>
        <w:wordWrap/>
        <w:overflowPunct/>
        <w:topLinePunct w:val="0"/>
        <w:autoSpaceDE/>
        <w:autoSpaceDN/>
        <w:bidi w:val="0"/>
        <w:adjustRightInd/>
        <w:snapToGrid/>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0AA2D56C">
      <w:pPr>
        <w:pageBreakBefore w:val="0"/>
        <w:kinsoku/>
        <w:wordWrap/>
        <w:overflowPunct/>
        <w:topLinePunct w:val="0"/>
        <w:autoSpaceDE/>
        <w:autoSpaceDN/>
        <w:bidi w:val="0"/>
        <w:adjustRightInd/>
        <w:snapToGrid/>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14:paraId="0A221828">
      <w:pPr>
        <w:pageBreakBefore w:val="0"/>
        <w:kinsoku/>
        <w:wordWrap/>
        <w:overflowPunct/>
        <w:topLinePunct w:val="0"/>
        <w:autoSpaceDE/>
        <w:autoSpaceDN/>
        <w:bidi w:val="0"/>
        <w:adjustRightInd/>
        <w:snapToGrid/>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w:t>
      </w:r>
      <w:r>
        <w:rPr>
          <w:rFonts w:hint="eastAsia" w:eastAsia="仿宋_GB2312"/>
          <w:color w:val="000000"/>
          <w:spacing w:val="17"/>
          <w:sz w:val="32"/>
          <w:szCs w:val="32"/>
          <w:lang w:val="en-US" w:eastAsia="zh-CN"/>
        </w:rPr>
        <w:t>20</w:t>
      </w:r>
      <w:r>
        <w:rPr>
          <w:rFonts w:eastAsia="仿宋_GB2312"/>
          <w:color w:val="000000"/>
          <w:spacing w:val="17"/>
          <w:sz w:val="32"/>
          <w:szCs w:val="32"/>
        </w:rPr>
        <w:t>分，项目过程权重为</w:t>
      </w:r>
      <w:r>
        <w:rPr>
          <w:rFonts w:hint="eastAsia" w:eastAsia="仿宋_GB2312"/>
          <w:color w:val="000000"/>
          <w:spacing w:val="17"/>
          <w:sz w:val="32"/>
          <w:szCs w:val="32"/>
          <w:lang w:val="en-US" w:eastAsia="zh-CN"/>
        </w:rPr>
        <w:t>20</w:t>
      </w:r>
      <w:r>
        <w:rPr>
          <w:rFonts w:eastAsia="仿宋_GB2312"/>
          <w:color w:val="000000"/>
          <w:spacing w:val="17"/>
          <w:sz w:val="32"/>
          <w:szCs w:val="32"/>
        </w:rPr>
        <w:t>分，项目产出权重为</w:t>
      </w:r>
      <w:r>
        <w:rPr>
          <w:rFonts w:hint="eastAsia" w:eastAsia="仿宋_GB2312"/>
          <w:color w:val="000000"/>
          <w:spacing w:val="17"/>
          <w:sz w:val="32"/>
          <w:szCs w:val="32"/>
          <w:lang w:val="en-US" w:eastAsia="zh-CN"/>
        </w:rPr>
        <w:t>4</w:t>
      </w:r>
      <w:r>
        <w:rPr>
          <w:rFonts w:eastAsia="仿宋_GB2312"/>
          <w:color w:val="000000"/>
          <w:spacing w:val="17"/>
          <w:sz w:val="32"/>
          <w:szCs w:val="32"/>
        </w:rPr>
        <w:t>0分，项目效益权重为</w:t>
      </w:r>
      <w:r>
        <w:rPr>
          <w:rFonts w:hint="eastAsia" w:eastAsia="仿宋_GB2312"/>
          <w:color w:val="000000"/>
          <w:spacing w:val="17"/>
          <w:sz w:val="32"/>
          <w:szCs w:val="32"/>
          <w:lang w:val="en-US" w:eastAsia="zh-CN"/>
        </w:rPr>
        <w:t>2</w:t>
      </w:r>
      <w:r>
        <w:rPr>
          <w:rFonts w:eastAsia="仿宋_GB2312"/>
          <w:color w:val="000000"/>
          <w:spacing w:val="17"/>
          <w:sz w:val="32"/>
          <w:szCs w:val="32"/>
        </w:rPr>
        <w:t>0分。</w:t>
      </w:r>
    </w:p>
    <w:p w14:paraId="7CE8A25B">
      <w:pPr>
        <w:pageBreakBefore w:val="0"/>
        <w:kinsoku/>
        <w:wordWrap/>
        <w:overflowPunct/>
        <w:topLinePunct w:val="0"/>
        <w:autoSpaceDE/>
        <w:autoSpaceDN/>
        <w:bidi w:val="0"/>
        <w:adjustRightInd/>
        <w:snapToGrid/>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14:paraId="6B3296DE">
      <w:pPr>
        <w:pageBreakBefore w:val="0"/>
        <w:kinsoku/>
        <w:wordWrap/>
        <w:overflowPunct/>
        <w:topLinePunct w:val="0"/>
        <w:autoSpaceDE/>
        <w:autoSpaceDN/>
        <w:bidi w:val="0"/>
        <w:adjustRightInd/>
        <w:snapToGrid/>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45DF35E6">
      <w:pPr>
        <w:pStyle w:val="2"/>
        <w:pageBreakBefore w:val="0"/>
        <w:kinsoku/>
        <w:wordWrap/>
        <w:overflowPunct/>
        <w:topLinePunct w:val="0"/>
        <w:autoSpaceDE/>
        <w:autoSpaceDN/>
        <w:bidi w:val="0"/>
        <w:adjustRightInd/>
        <w:snapToGrid/>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01C59813">
      <w:pPr>
        <w:pStyle w:val="2"/>
        <w:pageBreakBefore w:val="0"/>
        <w:widowControl w:val="0"/>
        <w:kinsoku/>
        <w:wordWrap/>
        <w:overflowPunct/>
        <w:topLinePunct w:val="0"/>
        <w:autoSpaceDE/>
        <w:autoSpaceDN/>
        <w:bidi w:val="0"/>
        <w:adjustRightInd/>
        <w:snapToGrid/>
        <w:spacing w:before="0" w:after="0" w:line="56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14:paraId="3CDB375F">
      <w:pPr>
        <w:pStyle w:val="2"/>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14:paraId="20D9BC33">
      <w:pPr>
        <w:pageBreakBefore w:val="0"/>
        <w:kinsoku/>
        <w:wordWrap/>
        <w:overflowPunct/>
        <w:topLinePunct w:val="0"/>
        <w:autoSpaceDE/>
        <w:autoSpaceDN/>
        <w:bidi w:val="0"/>
        <w:adjustRightInd/>
        <w:snapToGrid/>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0846728A">
      <w:pPr>
        <w:pageBreakBefore w:val="0"/>
        <w:kinsoku/>
        <w:wordWrap/>
        <w:overflowPunct/>
        <w:topLinePunct w:val="0"/>
        <w:autoSpaceDE/>
        <w:autoSpaceDN/>
        <w:bidi w:val="0"/>
        <w:adjustRightInd/>
        <w:snapToGrid/>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55785A4C">
      <w:pPr>
        <w:pageBreakBefore w:val="0"/>
        <w:kinsoku/>
        <w:wordWrap/>
        <w:overflowPunct/>
        <w:topLinePunct w:val="0"/>
        <w:autoSpaceDE/>
        <w:autoSpaceDN/>
        <w:bidi w:val="0"/>
        <w:adjustRightInd/>
        <w:snapToGrid/>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（1）比较法</w:t>
      </w:r>
    </w:p>
    <w:p w14:paraId="69C7C588">
      <w:pPr>
        <w:pageBreakBefore w:val="0"/>
        <w:kinsoku/>
        <w:wordWrap/>
        <w:overflowPunct/>
        <w:topLinePunct w:val="0"/>
        <w:autoSpaceDE/>
        <w:autoSpaceDN/>
        <w:bidi w:val="0"/>
        <w:adjustRightInd/>
        <w:snapToGrid/>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w:t>
      </w:r>
      <w:r>
        <w:rPr>
          <w:rFonts w:hint="eastAsia" w:eastAsia="仿宋_GB2312"/>
          <w:color w:val="000000"/>
          <w:spacing w:val="17"/>
          <w:sz w:val="32"/>
          <w:szCs w:val="32"/>
          <w:lang w:val="en-US" w:eastAsia="zh-CN"/>
        </w:rPr>
        <w:t>将</w:t>
      </w:r>
      <w:r>
        <w:rPr>
          <w:rFonts w:eastAsia="仿宋_GB2312"/>
          <w:sz w:val="32"/>
          <w:szCs w:val="32"/>
        </w:rPr>
        <w:t>项目</w:t>
      </w:r>
      <w:r>
        <w:rPr>
          <w:rFonts w:eastAsia="仿宋_GB2312"/>
          <w:color w:val="000000"/>
          <w:spacing w:val="17"/>
          <w:sz w:val="32"/>
          <w:szCs w:val="32"/>
        </w:rPr>
        <w:t>最终验收情况与年度绩效目标</w:t>
      </w:r>
      <w:r>
        <w:rPr>
          <w:rFonts w:hint="eastAsia" w:eastAsia="仿宋_GB2312"/>
          <w:color w:val="000000"/>
          <w:spacing w:val="17"/>
          <w:sz w:val="32"/>
          <w:szCs w:val="32"/>
          <w:lang w:val="en-US" w:eastAsia="zh-CN"/>
        </w:rPr>
        <w:t>进行</w:t>
      </w:r>
      <w:r>
        <w:rPr>
          <w:rFonts w:eastAsia="仿宋_GB2312"/>
          <w:color w:val="000000"/>
          <w:spacing w:val="17"/>
          <w:sz w:val="32"/>
          <w:szCs w:val="32"/>
        </w:rPr>
        <w:t>对比、预算资金执行情况等相关因素进行比较。</w:t>
      </w:r>
    </w:p>
    <w:p w14:paraId="4F85BD83">
      <w:pPr>
        <w:pageBreakBefore w:val="0"/>
        <w:kinsoku/>
        <w:wordWrap/>
        <w:overflowPunct/>
        <w:topLinePunct w:val="0"/>
        <w:autoSpaceDE/>
        <w:autoSpaceDN/>
        <w:bidi w:val="0"/>
        <w:adjustRightInd/>
        <w:snapToGrid/>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（2）因素分析法</w:t>
      </w:r>
    </w:p>
    <w:p w14:paraId="7527B1E9">
      <w:pPr>
        <w:pageBreakBefore w:val="0"/>
        <w:kinsoku/>
        <w:wordWrap/>
        <w:overflowPunct/>
        <w:topLinePunct w:val="0"/>
        <w:autoSpaceDE/>
        <w:autoSpaceDN/>
        <w:bidi w:val="0"/>
        <w:adjustRightInd/>
        <w:snapToGrid/>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14:paraId="4C2C3703">
      <w:pPr>
        <w:pStyle w:val="2"/>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4、评价标准</w:t>
      </w:r>
    </w:p>
    <w:p w14:paraId="232C18AA">
      <w:pPr>
        <w:pageBreakBefore w:val="0"/>
        <w:kinsoku/>
        <w:wordWrap/>
        <w:overflowPunct/>
        <w:topLinePunct w:val="0"/>
        <w:autoSpaceDE/>
        <w:autoSpaceDN/>
        <w:bidi w:val="0"/>
        <w:adjustRightInd/>
        <w:snapToGrid/>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绩效评价标准通常包括计划标准、行业标准、历史标准等，用于对绩效指标完成情况进行比较。本次评价主要采用了计划标准。</w:t>
      </w:r>
    </w:p>
    <w:p w14:paraId="789F8017">
      <w:pPr>
        <w:pStyle w:val="2"/>
        <w:pageBreakBefore w:val="0"/>
        <w:numPr>
          <w:ilvl w:val="0"/>
          <w:numId w:val="2"/>
        </w:numPr>
        <w:kinsoku/>
        <w:wordWrap/>
        <w:overflowPunct/>
        <w:topLinePunct w:val="0"/>
        <w:autoSpaceDE/>
        <w:autoSpaceDN/>
        <w:bidi w:val="0"/>
        <w:adjustRightInd/>
        <w:snapToGrid/>
        <w:spacing w:before="0" w:after="0" w:line="560" w:lineRule="exact"/>
        <w:ind w:firstLine="711" w:firstLineChars="200"/>
        <w:jc w:val="both"/>
        <w:rPr>
          <w:rFonts w:ascii="楷体" w:hAnsi="楷体" w:eastAsia="楷体" w:cs="楷体"/>
          <w:color w:val="000000"/>
          <w:spacing w:val="17"/>
        </w:rPr>
      </w:pPr>
      <w:r>
        <w:rPr>
          <w:rFonts w:hint="eastAsia" w:ascii="楷体" w:hAnsi="楷体" w:eastAsia="楷体" w:cs="楷体"/>
          <w:color w:val="000000"/>
          <w:spacing w:val="17"/>
        </w:rPr>
        <w:t>绩效评价工作过程</w:t>
      </w:r>
    </w:p>
    <w:p w14:paraId="767E8013">
      <w:pPr>
        <w:pageBreakBefore w:val="0"/>
        <w:numPr>
          <w:ilvl w:val="0"/>
          <w:numId w:val="3"/>
        </w:numPr>
        <w:kinsoku/>
        <w:wordWrap/>
        <w:overflowPunct/>
        <w:topLinePunct w:val="0"/>
        <w:autoSpaceDE/>
        <w:autoSpaceDN/>
        <w:bidi w:val="0"/>
        <w:adjustRightInd/>
        <w:snapToGrid/>
        <w:spacing w:line="560" w:lineRule="exact"/>
        <w:ind w:firstLine="640" w:firstLineChars="200"/>
        <w:rPr>
          <w:rFonts w:eastAsia="仿宋_GB2312"/>
          <w:bCs/>
          <w:sz w:val="32"/>
          <w:szCs w:val="32"/>
        </w:rPr>
      </w:pPr>
      <w:r>
        <w:rPr>
          <w:rFonts w:hint="eastAsia" w:eastAsia="仿宋_GB2312"/>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14:paraId="0206A616">
      <w:pPr>
        <w:pageBreakBefore w:val="0"/>
        <w:numPr>
          <w:ilvl w:val="0"/>
          <w:numId w:val="3"/>
        </w:numPr>
        <w:kinsoku/>
        <w:wordWrap/>
        <w:overflowPunct/>
        <w:topLinePunct w:val="0"/>
        <w:autoSpaceDE/>
        <w:autoSpaceDN/>
        <w:bidi w:val="0"/>
        <w:adjustRightInd/>
        <w:snapToGrid/>
        <w:spacing w:line="560" w:lineRule="exact"/>
        <w:ind w:firstLine="640" w:firstLineChars="200"/>
        <w:rPr>
          <w:rFonts w:eastAsia="仿宋_GB2312"/>
          <w:bCs/>
          <w:sz w:val="32"/>
          <w:szCs w:val="32"/>
        </w:rPr>
      </w:pPr>
      <w:r>
        <w:rPr>
          <w:rFonts w:hint="eastAsia" w:eastAsia="仿宋_GB2312"/>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14:paraId="1788CAD9">
      <w:pPr>
        <w:pageBreakBefore w:val="0"/>
        <w:numPr>
          <w:ilvl w:val="0"/>
          <w:numId w:val="3"/>
        </w:numPr>
        <w:kinsoku/>
        <w:wordWrap/>
        <w:overflowPunct/>
        <w:topLinePunct w:val="0"/>
        <w:autoSpaceDE/>
        <w:autoSpaceDN/>
        <w:bidi w:val="0"/>
        <w:adjustRightInd/>
        <w:snapToGrid/>
        <w:spacing w:line="560" w:lineRule="exact"/>
        <w:ind w:firstLine="640" w:firstLineChars="200"/>
        <w:rPr>
          <w:sz w:val="32"/>
          <w:szCs w:val="32"/>
        </w:rPr>
      </w:pPr>
      <w:r>
        <w:rPr>
          <w:rFonts w:hint="eastAsia" w:eastAsia="仿宋_GB2312"/>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14:paraId="2D4234D8">
      <w:pPr>
        <w:pageBreakBefore w:val="0"/>
        <w:numPr>
          <w:ilvl w:val="0"/>
          <w:numId w:val="4"/>
        </w:numPr>
        <w:kinsoku/>
        <w:wordWrap/>
        <w:overflowPunct/>
        <w:topLinePunct w:val="0"/>
        <w:autoSpaceDE/>
        <w:autoSpaceDN/>
        <w:bidi w:val="0"/>
        <w:adjustRightInd/>
        <w:snapToGrid/>
        <w:spacing w:line="560" w:lineRule="exact"/>
        <w:ind w:firstLine="640" w:firstLineChars="200"/>
        <w:rPr>
          <w:rFonts w:eastAsia="黑体"/>
          <w:sz w:val="32"/>
          <w:szCs w:val="32"/>
        </w:rPr>
      </w:pPr>
      <w:r>
        <w:rPr>
          <w:rFonts w:eastAsia="黑体"/>
          <w:sz w:val="32"/>
          <w:szCs w:val="32"/>
        </w:rPr>
        <w:t>综合评价情况及评价结论（附相关评分表）</w:t>
      </w:r>
    </w:p>
    <w:p w14:paraId="69164618">
      <w:pPr>
        <w:pStyle w:val="2"/>
        <w:jc w:val="both"/>
        <w:rPr>
          <w:rFonts w:hint="default" w:eastAsiaTheme="majorEastAsia"/>
          <w:lang w:val="en-US" w:eastAsia="zh-CN"/>
        </w:rPr>
      </w:pPr>
      <w:r>
        <w:rPr>
          <w:rFonts w:hint="eastAsia"/>
          <w:lang w:val="en-US" w:eastAsia="zh-CN"/>
        </w:rPr>
        <w:t xml:space="preserve">   </w:t>
      </w:r>
      <w:r>
        <w:rPr>
          <w:rFonts w:hint="eastAsia" w:ascii="Times New Roman" w:hAnsi="Times New Roman" w:eastAsia="楷体_GB2312"/>
          <w:lang w:eastAsia="zh-CN"/>
        </w:rPr>
        <w:t>（</w:t>
      </w:r>
      <w:r>
        <w:rPr>
          <w:rFonts w:hint="eastAsia" w:ascii="Times New Roman" w:hAnsi="Times New Roman" w:eastAsia="楷体_GB2312"/>
          <w:lang w:val="en-US" w:eastAsia="zh-CN"/>
        </w:rPr>
        <w:t>一</w:t>
      </w:r>
      <w:r>
        <w:rPr>
          <w:rFonts w:hint="eastAsia" w:ascii="Times New Roman" w:hAnsi="Times New Roman" w:eastAsia="楷体_GB2312"/>
          <w:lang w:eastAsia="zh-CN"/>
        </w:rPr>
        <w:t>）</w:t>
      </w:r>
      <w:r>
        <w:rPr>
          <w:rFonts w:hint="eastAsia" w:ascii="Times New Roman" w:hAnsi="Times New Roman" w:eastAsia="楷体_GB2312"/>
          <w:lang w:val="en-US" w:eastAsia="zh-CN"/>
        </w:rPr>
        <w:t>评价情况</w:t>
      </w:r>
    </w:p>
    <w:p w14:paraId="090F21A4">
      <w:pPr>
        <w:pStyle w:val="2"/>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eastAsia" w:ascii="Times New Roman" w:hAnsi="Times New Roman" w:eastAsia="仿宋_GB2312"/>
          <w:b w:val="0"/>
          <w:bCs w:val="0"/>
        </w:rPr>
      </w:pPr>
      <w:r>
        <w:rPr>
          <w:rFonts w:hint="eastAsia" w:ascii="Times New Roman" w:hAnsi="Times New Roman" w:eastAsia="仿宋_GB2312"/>
          <w:b w:val="0"/>
          <w:bCs w:val="0"/>
        </w:rPr>
        <w:t>项目总体组织规范，在项目实施过程</w:t>
      </w:r>
      <w:r>
        <w:rPr>
          <w:rFonts w:hint="eastAsia" w:ascii="Times New Roman" w:hAnsi="Times New Roman" w:eastAsia="仿宋_GB2312"/>
          <w:b w:val="0"/>
          <w:bCs w:val="0"/>
          <w:lang w:val="en-US" w:eastAsia="zh-CN"/>
        </w:rPr>
        <w:t>中</w:t>
      </w:r>
      <w:r>
        <w:rPr>
          <w:rFonts w:hint="eastAsia" w:ascii="Times New Roman" w:hAnsi="Times New Roman" w:eastAsia="仿宋_GB2312"/>
          <w:b w:val="0"/>
          <w:bCs w:val="0"/>
        </w:rPr>
        <w:t>做到认真履职，监督到位。按照相关制度的要求，项目负责人对项目绩效监控执行情况进行跟踪监督，有效完成了本项目的工作目标，确保资金使用安全</w:t>
      </w:r>
      <w:r>
        <w:rPr>
          <w:rFonts w:hint="eastAsia" w:ascii="Times New Roman" w:hAnsi="Times New Roman" w:eastAsia="仿宋_GB2312"/>
          <w:b w:val="0"/>
          <w:bCs w:val="0"/>
          <w:lang w:val="en-US" w:eastAsia="zh-CN"/>
        </w:rPr>
        <w:t>并</w:t>
      </w:r>
      <w:r>
        <w:rPr>
          <w:rFonts w:hint="eastAsia" w:ascii="Times New Roman" w:hAnsi="Times New Roman" w:eastAsia="仿宋_GB2312"/>
          <w:b w:val="0"/>
          <w:bCs w:val="0"/>
        </w:rPr>
        <w:t>发挥</w:t>
      </w:r>
      <w:r>
        <w:rPr>
          <w:rFonts w:hint="eastAsia" w:ascii="Times New Roman" w:hAnsi="Times New Roman" w:eastAsia="仿宋_GB2312"/>
          <w:b w:val="0"/>
          <w:bCs w:val="0"/>
          <w:lang w:val="en-US" w:eastAsia="zh-CN"/>
        </w:rPr>
        <w:t>最大效益</w:t>
      </w:r>
      <w:r>
        <w:rPr>
          <w:rFonts w:hint="eastAsia" w:ascii="Times New Roman" w:hAnsi="Times New Roman" w:eastAsia="仿宋_GB2312"/>
          <w:b w:val="0"/>
          <w:bCs w:val="0"/>
        </w:rPr>
        <w:t>，保障项目如期按要求完成。规范了项目档案资料的整理。项目的实施达到项目预期效果。</w:t>
      </w:r>
    </w:p>
    <w:p w14:paraId="20686376">
      <w:pPr>
        <w:ind w:firstLine="643" w:firstLineChars="200"/>
        <w:rPr>
          <w:rFonts w:hint="eastAsia" w:ascii="Times New Roman" w:hAnsi="Times New Roman" w:eastAsia="楷体_GB2312" w:cs="Times New Roman"/>
          <w:b/>
          <w:bCs/>
          <w:kern w:val="28"/>
          <w:sz w:val="32"/>
          <w:szCs w:val="32"/>
          <w:lang w:val="en-US" w:eastAsia="zh-CN" w:bidi="ar-SA"/>
        </w:rPr>
      </w:pPr>
      <w:r>
        <w:rPr>
          <w:rFonts w:hint="eastAsia" w:ascii="Times New Roman" w:hAnsi="Times New Roman" w:eastAsia="楷体_GB2312" w:cs="Times New Roman"/>
          <w:b/>
          <w:bCs/>
          <w:kern w:val="28"/>
          <w:sz w:val="32"/>
          <w:szCs w:val="32"/>
          <w:lang w:val="en-US" w:eastAsia="zh-CN" w:bidi="ar-SA"/>
        </w:rPr>
        <w:t>（二）评价结论</w:t>
      </w:r>
    </w:p>
    <w:p w14:paraId="5617D72E">
      <w:pPr>
        <w:ind w:firstLine="640" w:firstLineChars="200"/>
        <w:rPr>
          <w:rFonts w:hint="eastAsia"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运用绩效评价组制定的评价指标体系以及财政部《项目支出绩效评价管理办法》（财预〔2020〕10号）文件的评分标准，通过数据采集、问卷调查及访谈等方式，对本项目进行客观评价，最终评分结果：总得分为 98分，属于“优”。其中，项目决策类指标权重为20分，得分为 20分，得分率为 100%。项目过程类指标权重为20分，得分为20分，得分率为 100%。项目产出类指标权重为40分，得分为38分，得分率为 95%。项目效益类指标权重为20分，得分为20分，得分率为100%。具体打分情况详见：附件1综合评分表。</w:t>
      </w:r>
    </w:p>
    <w:p w14:paraId="1F1E016B">
      <w:pPr>
        <w:pStyle w:val="2"/>
        <w:keepNext w:val="0"/>
        <w:keepLines w:val="0"/>
        <w:pageBreakBefore w:val="0"/>
        <w:widowControl/>
        <w:kinsoku/>
        <w:wordWrap/>
        <w:overflowPunct/>
        <w:topLinePunct w:val="0"/>
        <w:autoSpaceDE/>
        <w:autoSpaceDN/>
        <w:bidi w:val="0"/>
        <w:adjustRightInd/>
        <w:snapToGrid/>
        <w:spacing w:before="0" w:after="0"/>
        <w:textAlignment w:val="auto"/>
        <w:rPr>
          <w:rFonts w:ascii="Times New Roman" w:hAnsi="Times New Roman" w:eastAsia="仿宋_GB2312"/>
          <w:sz w:val="30"/>
          <w:szCs w:val="30"/>
        </w:rPr>
      </w:pPr>
      <w:r>
        <w:rPr>
          <w:rFonts w:ascii="Times New Roman" w:hAnsi="Times New Roman" w:eastAsia="仿宋_GB2312"/>
          <w:sz w:val="30"/>
          <w:szCs w:val="30"/>
        </w:rPr>
        <w:t>表1综合评分表</w:t>
      </w:r>
    </w:p>
    <w:tbl>
      <w:tblPr>
        <w:tblStyle w:val="22"/>
        <w:tblW w:w="7583" w:type="dxa"/>
        <w:jc w:val="center"/>
        <w:tblLayout w:type="fixed"/>
        <w:tblCellMar>
          <w:top w:w="0" w:type="dxa"/>
          <w:left w:w="108" w:type="dxa"/>
          <w:bottom w:w="0" w:type="dxa"/>
          <w:right w:w="108" w:type="dxa"/>
        </w:tblCellMar>
      </w:tblPr>
      <w:tblGrid>
        <w:gridCol w:w="3137"/>
        <w:gridCol w:w="2168"/>
        <w:gridCol w:w="2278"/>
      </w:tblGrid>
      <w:tr w14:paraId="22F1BF0D">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2C5A7DBA">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47E07DFC">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61A67CE5">
            <w:pPr>
              <w:jc w:val="center"/>
              <w:rPr>
                <w:b/>
                <w:bCs/>
                <w:color w:val="000000"/>
                <w:sz w:val="22"/>
              </w:rPr>
            </w:pPr>
            <w:r>
              <w:rPr>
                <w:rFonts w:hint="eastAsia"/>
                <w:b/>
                <w:bCs/>
                <w:color w:val="000000"/>
                <w:sz w:val="22"/>
              </w:rPr>
              <w:t>得分</w:t>
            </w:r>
          </w:p>
        </w:tc>
      </w:tr>
      <w:tr w14:paraId="3C69A70B">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342DBCF0">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14:paraId="33683FBA">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6C6605DD">
            <w:pPr>
              <w:jc w:val="center"/>
              <w:rPr>
                <w:rFonts w:hint="default" w:eastAsia="宋体"/>
                <w:color w:val="000000"/>
                <w:sz w:val="22"/>
                <w:lang w:val="en-US" w:eastAsia="zh-CN"/>
              </w:rPr>
            </w:pPr>
            <w:r>
              <w:rPr>
                <w:rFonts w:hint="eastAsia"/>
                <w:color w:val="000000"/>
                <w:sz w:val="22"/>
                <w:lang w:val="en-US" w:eastAsia="zh-CN"/>
              </w:rPr>
              <w:t>20</w:t>
            </w:r>
          </w:p>
        </w:tc>
      </w:tr>
      <w:tr w14:paraId="198C6874">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790B8E12">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14:paraId="4DB78DB4">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73B6411E">
            <w:pPr>
              <w:jc w:val="center"/>
              <w:rPr>
                <w:rFonts w:hint="default" w:eastAsia="宋体"/>
                <w:color w:val="000000"/>
                <w:sz w:val="22"/>
                <w:lang w:val="en-US" w:eastAsia="zh-CN"/>
              </w:rPr>
            </w:pPr>
            <w:r>
              <w:rPr>
                <w:rFonts w:hint="eastAsia"/>
                <w:color w:val="000000"/>
                <w:sz w:val="22"/>
                <w:lang w:val="en-US" w:eastAsia="zh-CN"/>
              </w:rPr>
              <w:t>20</w:t>
            </w:r>
          </w:p>
        </w:tc>
      </w:tr>
      <w:tr w14:paraId="28AB950D">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35F661E0">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14:paraId="37C44454">
            <w:pPr>
              <w:jc w:val="center"/>
              <w:rPr>
                <w:rFonts w:hint="default" w:eastAsia="宋体"/>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019EA3CC">
            <w:pPr>
              <w:jc w:val="center"/>
              <w:rPr>
                <w:rFonts w:hint="default" w:eastAsia="宋体"/>
                <w:color w:val="000000"/>
                <w:sz w:val="22"/>
                <w:lang w:val="en-US" w:eastAsia="zh-CN"/>
              </w:rPr>
            </w:pPr>
            <w:r>
              <w:rPr>
                <w:rFonts w:hint="eastAsia"/>
                <w:color w:val="000000"/>
                <w:sz w:val="22"/>
                <w:lang w:val="en-US" w:eastAsia="zh-CN"/>
              </w:rPr>
              <w:t>38</w:t>
            </w:r>
          </w:p>
        </w:tc>
      </w:tr>
      <w:tr w14:paraId="106673F0">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01262644">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14:paraId="480BD7E8">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6EA0D7B8">
            <w:pPr>
              <w:jc w:val="center"/>
              <w:rPr>
                <w:rFonts w:hint="default" w:eastAsia="宋体"/>
                <w:color w:val="000000"/>
                <w:sz w:val="22"/>
                <w:lang w:val="en-US" w:eastAsia="zh-CN"/>
              </w:rPr>
            </w:pPr>
            <w:r>
              <w:rPr>
                <w:rFonts w:hint="eastAsia"/>
                <w:color w:val="000000"/>
                <w:sz w:val="22"/>
                <w:lang w:val="en-US" w:eastAsia="zh-CN"/>
              </w:rPr>
              <w:t>20</w:t>
            </w:r>
          </w:p>
        </w:tc>
      </w:tr>
      <w:tr w14:paraId="332B2BF5">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726DDB4F">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14:paraId="34E739FE">
            <w:pPr>
              <w:jc w:val="center"/>
              <w:rPr>
                <w:rFonts w:hint="default" w:eastAsia="宋体"/>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1DA50CBE">
            <w:pPr>
              <w:jc w:val="center"/>
              <w:rPr>
                <w:rFonts w:hint="default" w:eastAsia="宋体"/>
                <w:b/>
                <w:bCs/>
                <w:color w:val="000000"/>
                <w:sz w:val="22"/>
                <w:lang w:val="en-US" w:eastAsia="zh-CN"/>
              </w:rPr>
            </w:pPr>
            <w:r>
              <w:rPr>
                <w:rFonts w:hint="eastAsia"/>
                <w:b/>
                <w:bCs/>
                <w:color w:val="000000"/>
                <w:sz w:val="22"/>
                <w:lang w:val="en-US" w:eastAsia="zh-CN"/>
              </w:rPr>
              <w:t>98</w:t>
            </w:r>
          </w:p>
        </w:tc>
      </w:tr>
    </w:tbl>
    <w:p w14:paraId="256ABDC1">
      <w:pPr>
        <w:spacing w:line="560" w:lineRule="exact"/>
        <w:ind w:firstLine="640" w:firstLineChars="200"/>
        <w:rPr>
          <w:rFonts w:eastAsia="黑体"/>
          <w:sz w:val="32"/>
          <w:szCs w:val="32"/>
        </w:rPr>
      </w:pPr>
      <w:r>
        <w:rPr>
          <w:rFonts w:eastAsia="黑体"/>
          <w:sz w:val="32"/>
          <w:szCs w:val="32"/>
        </w:rPr>
        <w:t>四、绩效评价指标分析</w:t>
      </w:r>
    </w:p>
    <w:p w14:paraId="03CE3632">
      <w:pPr>
        <w:pStyle w:val="2"/>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（一）项目决策情况</w:t>
      </w:r>
    </w:p>
    <w:p w14:paraId="5C5C25FC">
      <w:pPr>
        <w:shd w:val="clear"/>
        <w:spacing w:line="600" w:lineRule="exact"/>
        <w:ind w:firstLine="600" w:firstLineChars="200"/>
        <w:outlineLvl w:val="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项目决策类指标包括项目立项、绩效目标和资金投入三方面的内容，由6个三级指标构成，权重分值为20分，实际得分20分，得分率为100%。</w:t>
      </w:r>
    </w:p>
    <w:p w14:paraId="11CC82F8">
      <w:pPr>
        <w:pStyle w:val="54"/>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1.项目立项</w:t>
      </w:r>
    </w:p>
    <w:p w14:paraId="33DB32C3">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14:paraId="1F659B6F">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6A95B730">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（2）立项程序规范性</w:t>
      </w:r>
    </w:p>
    <w:p w14:paraId="63E868A4">
      <w:pPr>
        <w:pageBreakBefore w:val="0"/>
        <w:kinsoku/>
        <w:wordWrap/>
        <w:overflowPunct/>
        <w:topLinePunct w:val="0"/>
        <w:autoSpaceDE/>
        <w:autoSpaceDN/>
        <w:bidi w:val="0"/>
        <w:adjustRightInd/>
        <w:snapToGrid/>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绩效评估、集体决策，保障了程序的规范性。</w:t>
      </w:r>
    </w:p>
    <w:p w14:paraId="36B31279">
      <w:pPr>
        <w:pStyle w:val="54"/>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2.绩效目标</w:t>
      </w:r>
    </w:p>
    <w:p w14:paraId="21DA00A7">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14:paraId="0203B3B3">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49637C97">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（2）绩效指标明确性</w:t>
      </w:r>
    </w:p>
    <w:p w14:paraId="6084ADBA">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45965487">
      <w:pPr>
        <w:pStyle w:val="54"/>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3.资金投入</w:t>
      </w:r>
    </w:p>
    <w:p w14:paraId="0B416A99">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14:paraId="23E10632">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14:paraId="6C45F4D9">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14:paraId="13BD0230">
      <w:pPr>
        <w:pageBreakBefore w:val="0"/>
        <w:kinsoku/>
        <w:wordWrap/>
        <w:overflowPunct/>
        <w:topLinePunct w:val="0"/>
        <w:autoSpaceDE/>
        <w:autoSpaceDN/>
        <w:bidi w:val="0"/>
        <w:adjustRightInd/>
        <w:snapToGrid/>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14:paraId="54EDEBC0">
      <w:pPr>
        <w:pStyle w:val="2"/>
        <w:numPr>
          <w:ilvl w:val="0"/>
          <w:numId w:val="5"/>
        </w:numPr>
        <w:spacing w:before="0" w:after="0" w:line="560" w:lineRule="exact"/>
        <w:ind w:firstLine="643" w:firstLineChars="200"/>
        <w:jc w:val="both"/>
        <w:rPr>
          <w:rFonts w:ascii="楷体" w:hAnsi="楷体" w:eastAsia="楷体" w:cs="楷体"/>
        </w:rPr>
      </w:pPr>
      <w:r>
        <w:rPr>
          <w:rFonts w:hint="eastAsia" w:ascii="楷体" w:hAnsi="楷体" w:eastAsia="楷体" w:cs="楷体"/>
        </w:rPr>
        <w:t>项目过程情况</w:t>
      </w:r>
    </w:p>
    <w:p w14:paraId="7110FEA1">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三级指标构成，权重分值为20分，实际得分20分，得分率为100%。</w:t>
      </w:r>
    </w:p>
    <w:p w14:paraId="45C5E739">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14:paraId="71C5EE54">
      <w:pPr>
        <w:pStyle w:val="54"/>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14:paraId="354E98A1">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14:paraId="77A350B6">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本项目总投资19.01万元，财政资金及时足额到位，到位率100%，预算资金按计划进度执行。</w:t>
      </w:r>
    </w:p>
    <w:p w14:paraId="1A6901CE">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（2）预算执行率</w:t>
      </w:r>
    </w:p>
    <w:p w14:paraId="43944A77">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预算编制较为详细，项目资金支出总体能够按照预算执行，预算资金支出19.01万元，预算执行率为100%。</w:t>
      </w:r>
    </w:p>
    <w:p w14:paraId="3EBCB617">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14:paraId="5074C952">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14:paraId="7C53B66E">
      <w:pPr>
        <w:pStyle w:val="54"/>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14:paraId="76A5C84C">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14:paraId="49F58E62">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2B212E60">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14:paraId="1B275D5E">
      <w:pPr>
        <w:pStyle w:val="2"/>
        <w:ind w:firstLine="640" w:firstLineChars="200"/>
        <w:jc w:val="both"/>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对资金使用的合法合规性进行监督，年末对资金使用效果进行评价。项目管理、实施人员落实到位，有效按照计划执行。项目执行情况等资料齐全，项目相关手续完备，及时进行归档。</w:t>
      </w:r>
    </w:p>
    <w:p w14:paraId="3347E554">
      <w:pPr>
        <w:pStyle w:val="20"/>
        <w:numPr>
          <w:ilvl w:val="0"/>
          <w:numId w:val="5"/>
        </w:numPr>
        <w:spacing w:line="560" w:lineRule="exact"/>
        <w:ind w:firstLine="643"/>
        <w:rPr>
          <w:rFonts w:hint="eastAsia" w:ascii="Times New Roman" w:hAnsi="Times New Roman" w:eastAsia="楷体_GB2312" w:cs="Times New Roman"/>
          <w:b/>
          <w:bCs/>
          <w:sz w:val="32"/>
          <w:szCs w:val="32"/>
          <w:lang w:val="en-US" w:eastAsia="zh-CN"/>
        </w:rPr>
      </w:pPr>
      <w:r>
        <w:rPr>
          <w:rFonts w:hint="eastAsia" w:ascii="Times New Roman" w:hAnsi="Times New Roman" w:eastAsia="楷体_GB2312" w:cs="Times New Roman"/>
          <w:b/>
          <w:bCs/>
          <w:sz w:val="32"/>
          <w:szCs w:val="32"/>
          <w:lang w:val="en-US" w:eastAsia="zh-CN"/>
        </w:rPr>
        <w:t>项目产出情况</w:t>
      </w:r>
    </w:p>
    <w:p w14:paraId="2277279A">
      <w:pPr>
        <w:shd w:val="clear"/>
        <w:spacing w:line="600" w:lineRule="exact"/>
        <w:ind w:firstLine="640" w:firstLineChars="200"/>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项目产出类指标包括产出数量、产出质量、产出时效、产出成本四方面的内容，由</w:t>
      </w:r>
      <w:r>
        <w:rPr>
          <w:rFonts w:hint="default" w:ascii="仿宋_GB2312" w:hAnsi="仿宋_GB2312" w:eastAsia="仿宋_GB2312" w:cs="仿宋_GB2312"/>
          <w:sz w:val="32"/>
          <w:szCs w:val="32"/>
          <w:lang w:val="en" w:eastAsia="zh-CN"/>
        </w:rPr>
        <w:t>6</w:t>
      </w:r>
      <w:r>
        <w:rPr>
          <w:rFonts w:hint="eastAsia" w:ascii="仿宋_GB2312" w:hAnsi="仿宋_GB2312" w:eastAsia="仿宋_GB2312" w:cs="仿宋_GB2312"/>
          <w:sz w:val="32"/>
          <w:szCs w:val="32"/>
          <w:lang w:val="en-US" w:eastAsia="zh-CN"/>
        </w:rPr>
        <w:t>个三级指标构成，权重分为</w:t>
      </w:r>
      <w:r>
        <w:rPr>
          <w:rFonts w:hint="default" w:ascii="仿宋_GB2312" w:hAnsi="仿宋_GB2312" w:eastAsia="仿宋_GB2312" w:cs="仿宋_GB2312"/>
          <w:sz w:val="32"/>
          <w:szCs w:val="32"/>
          <w:lang w:val="en" w:eastAsia="zh-CN"/>
        </w:rPr>
        <w:t>4</w:t>
      </w:r>
      <w:r>
        <w:rPr>
          <w:rFonts w:hint="eastAsia" w:ascii="仿宋_GB2312" w:hAnsi="仿宋_GB2312" w:eastAsia="仿宋_GB2312" w:cs="仿宋_GB2312"/>
          <w:sz w:val="32"/>
          <w:szCs w:val="32"/>
          <w:lang w:val="en-US" w:eastAsia="zh-CN"/>
        </w:rPr>
        <w:t>0分，实际得分</w:t>
      </w:r>
      <w:r>
        <w:rPr>
          <w:rFonts w:hint="default" w:ascii="仿宋_GB2312" w:hAnsi="仿宋_GB2312" w:eastAsia="仿宋_GB2312" w:cs="仿宋_GB2312"/>
          <w:sz w:val="32"/>
          <w:szCs w:val="32"/>
          <w:lang w:val="en" w:eastAsia="zh-CN"/>
        </w:rPr>
        <w:t>38</w:t>
      </w:r>
      <w:r>
        <w:rPr>
          <w:rFonts w:hint="eastAsia" w:ascii="仿宋_GB2312" w:hAnsi="仿宋_GB2312" w:eastAsia="仿宋_GB2312" w:cs="仿宋_GB2312"/>
          <w:sz w:val="32"/>
          <w:szCs w:val="32"/>
          <w:lang w:val="en-US" w:eastAsia="zh-CN"/>
        </w:rPr>
        <w:t>分，得分率为9</w:t>
      </w:r>
      <w:r>
        <w:rPr>
          <w:rFonts w:hint="default" w:ascii="仿宋_GB2312" w:hAnsi="仿宋_GB2312" w:eastAsia="仿宋_GB2312" w:cs="仿宋_GB2312"/>
          <w:sz w:val="32"/>
          <w:szCs w:val="32"/>
          <w:lang w:val="en" w:eastAsia="zh-CN"/>
        </w:rPr>
        <w:t>5</w:t>
      </w:r>
      <w:r>
        <w:rPr>
          <w:rFonts w:hint="eastAsia" w:ascii="仿宋_GB2312" w:hAnsi="仿宋_GB2312" w:eastAsia="仿宋_GB2312" w:cs="仿宋_GB2312"/>
          <w:sz w:val="32"/>
          <w:szCs w:val="32"/>
          <w:lang w:val="en-US" w:eastAsia="zh-CN"/>
        </w:rPr>
        <w:t>%。具体产出指标完成情况如下：</w:t>
      </w:r>
    </w:p>
    <w:p w14:paraId="6BFD1A12">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14:paraId="26A7C8AA">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指标1：发放六十年代精简退职老职工生活补助费人数，指标值：≤</w:t>
      </w:r>
      <w:r>
        <w:rPr>
          <w:rFonts w:hint="default" w:ascii="仿宋_GB2312" w:hAnsi="仿宋_GB2312" w:eastAsia="仿宋_GB2312" w:cs="仿宋_GB2312"/>
          <w:sz w:val="32"/>
          <w:szCs w:val="32"/>
          <w:highlight w:val="none"/>
          <w:lang w:val="en"/>
        </w:rPr>
        <w:t>13</w:t>
      </w:r>
      <w:r>
        <w:rPr>
          <w:rFonts w:hint="eastAsia" w:ascii="仿宋_GB2312" w:hAnsi="仿宋_GB2312" w:eastAsia="仿宋_GB2312" w:cs="仿宋_GB2312"/>
          <w:sz w:val="32"/>
          <w:szCs w:val="32"/>
          <w:highlight w:val="none"/>
        </w:rPr>
        <w:t>人，实际完成值：</w:t>
      </w:r>
      <w:r>
        <w:rPr>
          <w:rFonts w:hint="default" w:ascii="仿宋_GB2312" w:hAnsi="仿宋_GB2312" w:eastAsia="仿宋_GB2312" w:cs="仿宋_GB2312"/>
          <w:sz w:val="32"/>
          <w:szCs w:val="32"/>
          <w:highlight w:val="none"/>
          <w:lang w:val="en" w:eastAsia="zh-CN"/>
        </w:rPr>
        <w:t>11</w:t>
      </w:r>
      <w:r>
        <w:rPr>
          <w:rFonts w:hint="eastAsia" w:ascii="仿宋_GB2312" w:hAnsi="仿宋_GB2312" w:eastAsia="仿宋_GB2312" w:cs="仿宋_GB2312"/>
          <w:sz w:val="32"/>
          <w:szCs w:val="32"/>
          <w:highlight w:val="none"/>
          <w:lang w:val="en-US" w:eastAsia="zh-CN"/>
        </w:rPr>
        <w:t>人</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84.61%</w:t>
      </w:r>
      <w:r>
        <w:rPr>
          <w:rFonts w:hint="eastAsia" w:ascii="仿宋_GB2312" w:hAnsi="仿宋_GB2312" w:eastAsia="仿宋_GB2312" w:cs="仿宋_GB2312"/>
          <w:sz w:val="32"/>
          <w:szCs w:val="32"/>
          <w:highlight w:val="none"/>
          <w:lang w:eastAsia="zh-CN"/>
        </w:rPr>
        <w:t>，偏差原因：2人去世。</w:t>
      </w:r>
    </w:p>
    <w:p w14:paraId="101DB676">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指标2：</w:t>
      </w:r>
      <w:r>
        <w:rPr>
          <w:rFonts w:hint="default" w:ascii="仿宋_GB2312" w:hAnsi="仿宋_GB2312" w:eastAsia="仿宋_GB2312" w:cs="仿宋_GB2312"/>
          <w:b w:val="0"/>
          <w:bCs w:val="0"/>
          <w:kern w:val="2"/>
          <w:sz w:val="32"/>
          <w:szCs w:val="32"/>
          <w:highlight w:val="none"/>
          <w:lang w:val="en" w:eastAsia="zh-CN" w:bidi="ar-SA"/>
        </w:rPr>
        <w:t>发放机关遗孀生活补贴人数</w:t>
      </w:r>
      <w:r>
        <w:rPr>
          <w:rFonts w:hint="eastAsia" w:ascii="仿宋_GB2312" w:hAnsi="仿宋_GB2312" w:eastAsia="仿宋_GB2312" w:cs="仿宋_GB2312"/>
          <w:b w:val="0"/>
          <w:bCs w:val="0"/>
          <w:kern w:val="2"/>
          <w:sz w:val="32"/>
          <w:szCs w:val="32"/>
          <w:highlight w:val="none"/>
          <w:lang w:val="en" w:eastAsia="zh-CN" w:bidi="ar-SA"/>
        </w:rPr>
        <w:t>，</w:t>
      </w:r>
      <w:r>
        <w:rPr>
          <w:rFonts w:hint="eastAsia" w:ascii="仿宋_GB2312" w:hAnsi="仿宋_GB2312" w:eastAsia="仿宋_GB2312" w:cs="仿宋_GB2312"/>
          <w:sz w:val="32"/>
          <w:szCs w:val="32"/>
          <w:highlight w:val="none"/>
        </w:rPr>
        <w:t>指标值：</w:t>
      </w:r>
      <w:r>
        <w:rPr>
          <w:rFonts w:hint="eastAsia" w:ascii="仿宋_GB2312" w:hAnsi="仿宋_GB2312" w:eastAsia="仿宋_GB2312" w:cs="仿宋_GB2312"/>
          <w:b w:val="0"/>
          <w:bCs w:val="0"/>
          <w:color w:val="auto"/>
          <w:kern w:val="2"/>
          <w:sz w:val="32"/>
          <w:szCs w:val="32"/>
          <w:highlight w:val="none"/>
          <w:lang w:val="en-US" w:eastAsia="zh-CN" w:bidi="ar-SA"/>
        </w:rPr>
        <w:t>≤</w:t>
      </w:r>
      <w:r>
        <w:rPr>
          <w:rFonts w:hint="eastAsia" w:ascii="仿宋_GB2312" w:hAnsi="仿宋_GB2312" w:eastAsia="仿宋_GB2312" w:cs="仿宋_GB2312"/>
          <w:sz w:val="32"/>
          <w:szCs w:val="32"/>
          <w:highlight w:val="none"/>
          <w:lang w:val="en-US" w:eastAsia="zh-CN"/>
        </w:rPr>
        <w:t>7人</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b w:val="0"/>
          <w:bCs w:val="0"/>
          <w:kern w:val="2"/>
          <w:sz w:val="32"/>
          <w:szCs w:val="32"/>
          <w:highlight w:val="none"/>
          <w:lang w:val="en" w:eastAsia="zh-CN" w:bidi="ar-SA"/>
        </w:rPr>
        <w:t>：</w:t>
      </w:r>
      <w:r>
        <w:rPr>
          <w:rFonts w:hint="default" w:ascii="仿宋_GB2312" w:hAnsi="仿宋_GB2312" w:eastAsia="仿宋_GB2312" w:cs="仿宋_GB2312"/>
          <w:b w:val="0"/>
          <w:bCs w:val="0"/>
          <w:kern w:val="2"/>
          <w:sz w:val="32"/>
          <w:szCs w:val="32"/>
          <w:highlight w:val="none"/>
          <w:lang w:val="en" w:eastAsia="zh-CN" w:bidi="ar-SA"/>
        </w:rPr>
        <w:t>7</w:t>
      </w:r>
      <w:r>
        <w:rPr>
          <w:rFonts w:hint="eastAsia" w:ascii="仿宋_GB2312" w:hAnsi="仿宋_GB2312" w:eastAsia="仿宋_GB2312" w:cs="仿宋_GB2312"/>
          <w:b w:val="0"/>
          <w:bCs w:val="0"/>
          <w:kern w:val="2"/>
          <w:sz w:val="32"/>
          <w:szCs w:val="32"/>
          <w:highlight w:val="none"/>
          <w:lang w:val="en-US" w:eastAsia="zh-CN" w:bidi="ar-SA"/>
        </w:rPr>
        <w:t>人</w:t>
      </w:r>
      <w:r>
        <w:rPr>
          <w:rFonts w:hint="eastAsia" w:ascii="仿宋_GB2312" w:hAnsi="仿宋_GB2312" w:eastAsia="仿宋_GB2312" w:cs="仿宋_GB2312"/>
          <w:b w:val="0"/>
          <w:bCs w:val="0"/>
          <w:kern w:val="2"/>
          <w:sz w:val="32"/>
          <w:szCs w:val="32"/>
          <w:highlight w:val="none"/>
          <w:lang w:val="en" w:eastAsia="zh-CN" w:bidi="ar-SA"/>
        </w:rPr>
        <w:t>，</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sz w:val="32"/>
          <w:szCs w:val="32"/>
          <w:highlight w:val="none"/>
          <w:lang w:eastAsia="zh-CN"/>
        </w:rPr>
        <w:t>。</w:t>
      </w:r>
    </w:p>
    <w:p w14:paraId="34366173">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14:paraId="1D770816">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指标1：</w:t>
      </w:r>
      <w:r>
        <w:rPr>
          <w:rStyle w:val="24"/>
          <w:rFonts w:hint="eastAsia" w:ascii="仿宋_GB2312" w:hAnsi="仿宋_GB2312" w:eastAsia="仿宋_GB2312" w:cs="仿宋_GB2312"/>
          <w:b w:val="0"/>
          <w:color w:val="000000"/>
          <w:spacing w:val="-4"/>
          <w:sz w:val="32"/>
          <w:szCs w:val="32"/>
          <w:highlight w:val="none"/>
          <w:lang w:val="en-US" w:eastAsia="zh-CN"/>
        </w:rPr>
        <w:t>发放六十年代精简退职老职工生活补助覆盖率</w:t>
      </w:r>
      <w:r>
        <w:rPr>
          <w:rFonts w:hint="eastAsia" w:ascii="仿宋_GB2312" w:hAnsi="仿宋_GB2312" w:eastAsia="仿宋_GB2312" w:cs="仿宋_GB2312"/>
          <w:sz w:val="32"/>
          <w:szCs w:val="32"/>
          <w:highlight w:val="none"/>
        </w:rPr>
        <w:t>，指标值：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sz w:val="32"/>
          <w:szCs w:val="32"/>
          <w:highlight w:val="none"/>
          <w:lang w:eastAsia="zh-CN"/>
        </w:rPr>
        <w:t>。</w:t>
      </w:r>
    </w:p>
    <w:p w14:paraId="25065D81">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14:paraId="30121556">
      <w:pPr>
        <w:shd w:val="clear"/>
        <w:spacing w:line="600" w:lineRule="exact"/>
        <w:ind w:firstLine="640" w:firstLineChars="200"/>
        <w:outlineLvl w:val="0"/>
        <w:rPr>
          <w:rFonts w:hint="eastAsia"/>
        </w:rPr>
      </w:pPr>
      <w:r>
        <w:rPr>
          <w:rFonts w:hint="eastAsia" w:ascii="仿宋_GB2312" w:hAnsi="仿宋_GB2312" w:eastAsia="仿宋_GB2312" w:cs="仿宋_GB2312"/>
          <w:sz w:val="32"/>
          <w:szCs w:val="32"/>
          <w:highlight w:val="none"/>
        </w:rPr>
        <w:t>指标1：</w:t>
      </w:r>
      <w:r>
        <w:rPr>
          <w:rStyle w:val="53"/>
          <w:rFonts w:hint="eastAsia" w:ascii="Times New Roman" w:hAnsi="Times New Roman" w:cs="Times New Roman"/>
          <w:color w:val="auto"/>
        </w:rPr>
        <w:t>补助发放及时率</w:t>
      </w:r>
      <w:r>
        <w:rPr>
          <w:rFonts w:hint="eastAsia" w:ascii="仿宋_GB2312" w:hAnsi="仿宋_GB2312" w:eastAsia="仿宋_GB2312" w:cs="仿宋_GB2312"/>
          <w:sz w:val="32"/>
          <w:szCs w:val="32"/>
          <w:highlight w:val="none"/>
        </w:rPr>
        <w:t>，指标值：</w:t>
      </w:r>
      <w:r>
        <w:rPr>
          <w:rStyle w:val="53"/>
          <w:rFonts w:hint="eastAsia" w:eastAsia="仿宋_GB2312" w:cs="Times New Roman"/>
          <w:color w:val="auto"/>
          <w:lang w:eastAsia="zh-CN"/>
        </w:rPr>
        <w:t>≥95%</w:t>
      </w:r>
      <w:r>
        <w:rPr>
          <w:rFonts w:hint="eastAsia" w:ascii="仿宋_GB2312" w:hAnsi="仿宋_GB2312" w:eastAsia="仿宋_GB2312" w:cs="仿宋_GB2312"/>
          <w:sz w:val="32"/>
          <w:szCs w:val="32"/>
          <w:highlight w:val="none"/>
        </w:rPr>
        <w:t>，实际完成值：</w:t>
      </w:r>
      <w:r>
        <w:rPr>
          <w:rStyle w:val="53"/>
          <w:rFonts w:hint="eastAsia" w:eastAsia="仿宋_GB2312" w:cs="Times New Roman"/>
          <w:color w:val="auto"/>
          <w:lang w:eastAsia="zh-CN"/>
        </w:rPr>
        <w:t>95%</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5F61F78B">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4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④</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成本指标：</w:t>
      </w:r>
    </w:p>
    <w:p w14:paraId="186CBF8E">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指标1：</w:t>
      </w:r>
      <w:r>
        <w:rPr>
          <w:rStyle w:val="53"/>
          <w:rFonts w:hint="eastAsia" w:ascii="Times New Roman" w:hAnsi="Times New Roman" w:cs="Times New Roman"/>
          <w:color w:val="auto"/>
        </w:rPr>
        <w:t>每月发放六十年代精简退职老职工生活补助费人均</w:t>
      </w:r>
      <w:r>
        <w:rPr>
          <w:rFonts w:hint="eastAsia" w:ascii="仿宋_GB2312" w:hAnsi="仿宋_GB2312" w:eastAsia="仿宋_GB2312" w:cs="仿宋_GB2312"/>
          <w:sz w:val="32"/>
          <w:szCs w:val="32"/>
          <w:highlight w:val="none"/>
        </w:rPr>
        <w:t>，指标值：</w:t>
      </w:r>
      <w:r>
        <w:rPr>
          <w:rFonts w:hint="eastAsia" w:ascii="仿宋_GB2312" w:hAnsi="仿宋_GB2312" w:eastAsia="仿宋_GB2312" w:cs="仿宋_GB2312"/>
          <w:b w:val="0"/>
          <w:bCs w:val="0"/>
          <w:color w:val="auto"/>
          <w:kern w:val="2"/>
          <w:sz w:val="32"/>
          <w:szCs w:val="32"/>
          <w:highlight w:val="none"/>
          <w:lang w:val="en-US" w:eastAsia="zh-CN" w:bidi="ar-SA"/>
        </w:rPr>
        <w:t>≤</w:t>
      </w:r>
      <w:r>
        <w:rPr>
          <w:rStyle w:val="53"/>
          <w:rFonts w:hint="eastAsia" w:eastAsia="仿宋_GB2312" w:cs="Times New Roman"/>
          <w:color w:val="auto"/>
          <w:lang w:eastAsia="zh-CN"/>
        </w:rPr>
        <w:t>660元/人</w:t>
      </w:r>
      <w:r>
        <w:rPr>
          <w:rFonts w:hint="eastAsia" w:ascii="仿宋_GB2312" w:hAnsi="仿宋_GB2312" w:eastAsia="仿宋_GB2312" w:cs="仿宋_GB2312"/>
          <w:sz w:val="32"/>
          <w:szCs w:val="32"/>
          <w:highlight w:val="none"/>
        </w:rPr>
        <w:t>，实际完成值：</w:t>
      </w:r>
      <w:r>
        <w:rPr>
          <w:rStyle w:val="53"/>
          <w:rFonts w:hint="eastAsia" w:eastAsia="仿宋_GB2312" w:cs="Times New Roman"/>
          <w:color w:val="auto"/>
          <w:lang w:eastAsia="zh-CN"/>
        </w:rPr>
        <w:t>660元/人</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039C46D0">
      <w:pPr>
        <w:shd w:val="clear"/>
        <w:spacing w:line="600" w:lineRule="exact"/>
        <w:ind w:firstLine="640" w:firstLineChars="200"/>
        <w:outlineLvl w:val="0"/>
        <w:rPr>
          <w:rFonts w:hint="eastAsia"/>
        </w:rPr>
      </w:pPr>
      <w:r>
        <w:rPr>
          <w:rFonts w:hint="eastAsia" w:ascii="仿宋_GB2312" w:hAnsi="仿宋_GB2312" w:eastAsia="仿宋_GB2312" w:cs="仿宋_GB2312"/>
          <w:sz w:val="32"/>
          <w:szCs w:val="32"/>
          <w:highlight w:val="none"/>
        </w:rPr>
        <w:t>指标</w:t>
      </w:r>
      <w:r>
        <w:rPr>
          <w:rFonts w:hint="default" w:ascii="仿宋_GB2312" w:hAnsi="仿宋_GB2312" w:eastAsia="仿宋_GB2312" w:cs="仿宋_GB2312"/>
          <w:sz w:val="32"/>
          <w:szCs w:val="32"/>
          <w:highlight w:val="none"/>
          <w:lang w:val="en"/>
        </w:rPr>
        <w:t>2</w:t>
      </w:r>
      <w:r>
        <w:rPr>
          <w:rFonts w:hint="eastAsia" w:ascii="仿宋_GB2312" w:hAnsi="仿宋_GB2312" w:eastAsia="仿宋_GB2312" w:cs="仿宋_GB2312"/>
          <w:sz w:val="32"/>
          <w:szCs w:val="32"/>
          <w:highlight w:val="none"/>
        </w:rPr>
        <w:t>：</w:t>
      </w:r>
      <w:r>
        <w:rPr>
          <w:rStyle w:val="53"/>
          <w:rFonts w:hint="eastAsia" w:ascii="Times New Roman" w:hAnsi="Times New Roman" w:cs="Times New Roman"/>
          <w:color w:val="auto"/>
        </w:rPr>
        <w:t>每月发放机关遗孀生活补贴人均</w:t>
      </w:r>
      <w:r>
        <w:rPr>
          <w:rFonts w:hint="eastAsia" w:ascii="仿宋_GB2312" w:hAnsi="仿宋_GB2312" w:eastAsia="仿宋_GB2312" w:cs="仿宋_GB2312"/>
          <w:sz w:val="32"/>
          <w:szCs w:val="32"/>
          <w:highlight w:val="none"/>
        </w:rPr>
        <w:t>，指标值：</w:t>
      </w:r>
      <w:r>
        <w:rPr>
          <w:rFonts w:hint="eastAsia" w:ascii="仿宋_GB2312" w:hAnsi="仿宋_GB2312" w:eastAsia="仿宋_GB2312" w:cs="仿宋_GB2312"/>
          <w:b w:val="0"/>
          <w:bCs w:val="0"/>
          <w:color w:val="auto"/>
          <w:kern w:val="2"/>
          <w:sz w:val="32"/>
          <w:szCs w:val="32"/>
          <w:highlight w:val="none"/>
          <w:lang w:val="en-US" w:eastAsia="zh-CN" w:bidi="ar-SA"/>
        </w:rPr>
        <w:t>≤</w:t>
      </w:r>
      <w:r>
        <w:rPr>
          <w:rStyle w:val="53"/>
          <w:rFonts w:hint="eastAsia" w:eastAsia="仿宋_GB2312" w:cs="Times New Roman"/>
          <w:color w:val="auto"/>
          <w:lang w:eastAsia="zh-CN"/>
        </w:rPr>
        <w:t>1300元/人</w:t>
      </w:r>
      <w:r>
        <w:rPr>
          <w:rFonts w:hint="eastAsia" w:ascii="仿宋_GB2312" w:hAnsi="仿宋_GB2312" w:eastAsia="仿宋_GB2312" w:cs="仿宋_GB2312"/>
          <w:sz w:val="32"/>
          <w:szCs w:val="32"/>
          <w:highlight w:val="none"/>
        </w:rPr>
        <w:t>，实际完成值：</w:t>
      </w:r>
      <w:r>
        <w:rPr>
          <w:rStyle w:val="53"/>
          <w:rFonts w:hint="eastAsia" w:eastAsia="仿宋_GB2312" w:cs="Times New Roman"/>
          <w:color w:val="auto"/>
          <w:lang w:eastAsia="zh-CN"/>
        </w:rPr>
        <w:t>1300元/人</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7BE182B9">
      <w:pPr>
        <w:pStyle w:val="2"/>
        <w:pageBreakBefore w:val="0"/>
        <w:kinsoku/>
        <w:wordWrap/>
        <w:overflowPunct/>
        <w:topLinePunct w:val="0"/>
        <w:autoSpaceDE/>
        <w:autoSpaceDN/>
        <w:bidi w:val="0"/>
        <w:adjustRightInd/>
        <w:snapToGrid/>
        <w:spacing w:line="560" w:lineRule="exact"/>
        <w:ind w:firstLine="321" w:firstLineChars="100"/>
        <w:jc w:val="both"/>
        <w:rPr>
          <w:rFonts w:ascii="Times New Roman" w:hAnsi="Times New Roman"/>
        </w:rPr>
      </w:pPr>
      <w:r>
        <w:rPr>
          <w:rFonts w:hint="eastAsia" w:ascii="Times New Roman" w:hAnsi="Times New Roman" w:eastAsia="楷体_GB2312"/>
        </w:rPr>
        <w:t>（四）</w:t>
      </w:r>
      <w:r>
        <w:rPr>
          <w:rFonts w:hint="eastAsia" w:ascii="Times New Roman" w:hAnsi="Times New Roman" w:eastAsia="楷体_GB2312"/>
          <w:lang w:eastAsia="zh-CN"/>
        </w:rPr>
        <w:t>项目</w:t>
      </w:r>
      <w:r>
        <w:rPr>
          <w:rFonts w:ascii="Times New Roman" w:hAnsi="Times New Roman" w:eastAsia="楷体_GB2312"/>
        </w:rPr>
        <w:t>效益情况</w:t>
      </w:r>
    </w:p>
    <w:p w14:paraId="13DD02C5">
      <w:pPr>
        <w:shd w:val="clear"/>
        <w:spacing w:line="600" w:lineRule="exact"/>
        <w:ind w:firstLine="640" w:firstLineChars="200"/>
        <w:outlineLvl w:val="0"/>
        <w:rPr>
          <w:rFonts w:hint="eastAsia"/>
          <w:lang w:val="en-US" w:eastAsia="zh-CN"/>
        </w:rPr>
      </w:pPr>
      <w:r>
        <w:rPr>
          <w:rFonts w:hint="eastAsia" w:ascii="仿宋_GB2312" w:hAnsi="仿宋_GB2312" w:eastAsia="仿宋_GB2312" w:cs="仿宋_GB2312"/>
          <w:sz w:val="32"/>
          <w:szCs w:val="32"/>
          <w:lang w:val="en-US" w:eastAsia="zh-CN"/>
        </w:rPr>
        <w:t>项目效益类指标包括项目实施效益和满意度两方面的内容，由3个三级指标构成，权重分为20分，实际得分20分，得分率为100%。具体效益指标及满意度指标完成情况如下：</w:t>
      </w:r>
    </w:p>
    <w:p w14:paraId="3252F05E">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14:paraId="17BB75BB">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①</w:t>
      </w:r>
      <w:r>
        <w:rPr>
          <w:rFonts w:hint="eastAsia" w:ascii="仿宋_GB2312" w:hAnsi="仿宋_GB2312" w:eastAsia="仿宋_GB2312" w:cs="仿宋_GB2312"/>
          <w:sz w:val="32"/>
          <w:szCs w:val="32"/>
          <w:highlight w:val="none"/>
        </w:rPr>
        <w:t>社会效益指标：</w:t>
      </w:r>
    </w:p>
    <w:p w14:paraId="18161AE2">
      <w:pPr>
        <w:shd w:val="clear"/>
        <w:spacing w:line="600" w:lineRule="exact"/>
        <w:ind w:firstLine="640" w:firstLineChars="200"/>
        <w:outlineLvl w:val="0"/>
        <w:rPr>
          <w:rFonts w:hint="eastAsia"/>
        </w:rPr>
      </w:pPr>
      <w:r>
        <w:rPr>
          <w:rFonts w:hint="eastAsia" w:ascii="仿宋_GB2312" w:hAnsi="仿宋_GB2312" w:eastAsia="仿宋_GB2312" w:cs="仿宋_GB2312"/>
          <w:sz w:val="32"/>
          <w:szCs w:val="32"/>
          <w:highlight w:val="none"/>
        </w:rPr>
        <w:t>指标1：保障六十年代精简退职老职工生活待遇，指标值：</w:t>
      </w:r>
      <w:r>
        <w:rPr>
          <w:rFonts w:hint="eastAsia" w:ascii="仿宋_GB2312" w:hAnsi="仿宋_GB2312" w:eastAsia="仿宋_GB2312" w:cs="仿宋_GB2312"/>
          <w:sz w:val="32"/>
          <w:szCs w:val="32"/>
          <w:highlight w:val="none"/>
          <w:lang w:eastAsia="zh-CN"/>
        </w:rPr>
        <w:t>效果保障</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eastAsia="zh-CN"/>
        </w:rPr>
        <w:t>效果保障</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01F982F7">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lang w:val="en-US" w:eastAsia="zh-CN"/>
        </w:rPr>
        <w:t>可持续影响指标：</w:t>
      </w:r>
    </w:p>
    <w:p w14:paraId="4AD50A1D">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指标1：群体上访事件发生率，指标值：=0%，实际完成值：0%，指标完成率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15EC9739">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14:paraId="541F9C42">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满意度指标：</w:t>
      </w:r>
    </w:p>
    <w:p w14:paraId="679F954A">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指标1：</w:t>
      </w:r>
      <w:r>
        <w:rPr>
          <w:rFonts w:hint="default" w:ascii="仿宋_GB2312" w:hAnsi="仿宋_GB2312" w:eastAsia="仿宋_GB2312" w:cs="仿宋_GB2312"/>
          <w:b w:val="0"/>
          <w:bCs w:val="0"/>
          <w:kern w:val="2"/>
          <w:sz w:val="32"/>
          <w:szCs w:val="32"/>
          <w:highlight w:val="none"/>
          <w:lang w:val="en-US" w:eastAsia="zh-CN" w:bidi="ar-SA"/>
        </w:rPr>
        <w:t>六十年代精简退职老职工满意度</w:t>
      </w:r>
      <w:r>
        <w:rPr>
          <w:rFonts w:hint="eastAsia" w:ascii="仿宋_GB2312" w:hAnsi="仿宋_GB2312" w:eastAsia="仿宋_GB2312" w:cs="仿宋_GB2312"/>
          <w:sz w:val="32"/>
          <w:szCs w:val="32"/>
          <w:highlight w:val="none"/>
        </w:rPr>
        <w:t>，指标值：=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10</w:t>
      </w:r>
      <w:r>
        <w:rPr>
          <w:rFonts w:hint="eastAsia" w:ascii="仿宋_GB2312" w:hAnsi="仿宋_GB2312" w:eastAsia="仿宋_GB2312" w:cs="仿宋_GB2312"/>
          <w:sz w:val="32"/>
          <w:szCs w:val="32"/>
          <w:highlight w:val="none"/>
        </w:rPr>
        <w:t>0%，指标完成率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41209447">
      <w:pPr>
        <w:spacing w:line="560" w:lineRule="exact"/>
        <w:ind w:firstLine="640" w:firstLineChars="200"/>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14:paraId="03B42A98">
      <w:pPr>
        <w:shd w:val="clear"/>
        <w:spacing w:line="600" w:lineRule="exact"/>
        <w:ind w:firstLine="640" w:firstLineChars="200"/>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sz w:val="32"/>
          <w:szCs w:val="32"/>
          <w:highlight w:val="none"/>
        </w:rPr>
        <w:t>六十年代精简退职老职工生活补助费项目年初预算</w:t>
      </w:r>
      <w:r>
        <w:rPr>
          <w:rFonts w:hint="eastAsia" w:ascii="仿宋_GB2312" w:hAnsi="仿宋_GB2312" w:eastAsia="仿宋_GB2312" w:cs="仿宋_GB2312"/>
          <w:sz w:val="32"/>
          <w:szCs w:val="32"/>
          <w:highlight w:val="none"/>
          <w:lang w:val="en-US" w:eastAsia="zh-CN"/>
        </w:rPr>
        <w:t>19.01</w:t>
      </w:r>
      <w:r>
        <w:rPr>
          <w:rFonts w:hint="eastAsia" w:ascii="仿宋_GB2312" w:hAnsi="仿宋_GB2312" w:eastAsia="仿宋_GB2312" w:cs="仿宋_GB2312"/>
          <w:sz w:val="32"/>
          <w:szCs w:val="32"/>
          <w:highlight w:val="none"/>
        </w:rPr>
        <w:t>万元，全年预算</w:t>
      </w:r>
      <w:r>
        <w:rPr>
          <w:rFonts w:hint="eastAsia" w:ascii="仿宋_GB2312" w:hAnsi="仿宋_GB2312" w:eastAsia="仿宋_GB2312" w:cs="仿宋_GB2312"/>
          <w:sz w:val="32"/>
          <w:szCs w:val="32"/>
          <w:highlight w:val="none"/>
          <w:lang w:val="en-US" w:eastAsia="zh-CN"/>
        </w:rPr>
        <w:t>19.01</w:t>
      </w:r>
      <w:r>
        <w:rPr>
          <w:rFonts w:hint="eastAsia" w:ascii="仿宋_GB2312" w:hAnsi="仿宋_GB2312" w:eastAsia="仿宋_GB2312" w:cs="仿宋_GB2312"/>
          <w:sz w:val="32"/>
          <w:szCs w:val="32"/>
          <w:highlight w:val="none"/>
        </w:rPr>
        <w:t>万元，实际支出</w:t>
      </w:r>
      <w:r>
        <w:rPr>
          <w:rFonts w:hint="eastAsia" w:ascii="仿宋_GB2312" w:hAnsi="仿宋_GB2312" w:eastAsia="仿宋_GB2312" w:cs="仿宋_GB2312"/>
          <w:sz w:val="32"/>
          <w:szCs w:val="32"/>
          <w:highlight w:val="none"/>
          <w:lang w:val="en-US" w:eastAsia="zh-CN"/>
        </w:rPr>
        <w:t>19.01</w:t>
      </w:r>
      <w:r>
        <w:rPr>
          <w:rFonts w:hint="eastAsia" w:ascii="仿宋_GB2312" w:hAnsi="仿宋_GB2312" w:eastAsia="仿宋_GB2312" w:cs="仿宋_GB2312"/>
          <w:sz w:val="32"/>
          <w:szCs w:val="32"/>
          <w:highlight w:val="none"/>
        </w:rPr>
        <w:t>万元，预算执行率为</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%，项目绩效指标总体完</w:t>
      </w:r>
      <w:r>
        <w:rPr>
          <w:rFonts w:hint="eastAsia" w:ascii="仿宋_GB2312" w:hAnsi="仿宋_GB2312" w:eastAsia="仿宋_GB2312" w:cs="仿宋_GB2312"/>
          <w:color w:val="auto"/>
          <w:sz w:val="32"/>
          <w:szCs w:val="32"/>
          <w:highlight w:val="none"/>
        </w:rPr>
        <w:t>成率为</w:t>
      </w:r>
      <w:r>
        <w:rPr>
          <w:rFonts w:hint="eastAsia" w:ascii="仿宋_GB2312" w:hAnsi="仿宋_GB2312" w:eastAsia="仿宋_GB2312" w:cs="仿宋_GB2312"/>
          <w:color w:val="auto"/>
          <w:sz w:val="32"/>
          <w:szCs w:val="32"/>
          <w:highlight w:val="none"/>
          <w:lang w:val="en-US" w:eastAsia="zh-CN"/>
        </w:rPr>
        <w:t>96.15</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Hans"/>
        </w:rPr>
        <w:t>总体</w:t>
      </w:r>
      <w:r>
        <w:rPr>
          <w:rFonts w:hint="eastAsia" w:ascii="仿宋_GB2312" w:hAnsi="仿宋_GB2312" w:eastAsia="仿宋_GB2312" w:cs="仿宋_GB2312"/>
          <w:color w:val="auto"/>
          <w:sz w:val="32"/>
          <w:szCs w:val="32"/>
          <w:highlight w:val="none"/>
        </w:rPr>
        <w:t>偏差率为</w:t>
      </w:r>
      <w:r>
        <w:rPr>
          <w:rFonts w:hint="default" w:ascii="仿宋_GB2312" w:hAnsi="仿宋_GB2312" w:eastAsia="仿宋_GB2312" w:cs="仿宋_GB2312"/>
          <w:color w:val="auto"/>
          <w:sz w:val="32"/>
          <w:szCs w:val="32"/>
          <w:highlight w:val="none"/>
          <w:lang w:val="en" w:eastAsia="zh-CN"/>
        </w:rPr>
        <w:t>3.85</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eastAsia="zh-Hans"/>
        </w:rPr>
        <w:t>偏差</w:t>
      </w:r>
      <w:r>
        <w:rPr>
          <w:rFonts w:hint="eastAsia" w:ascii="仿宋_GB2312" w:hAnsi="仿宋_GB2312" w:eastAsia="仿宋_GB2312" w:cs="仿宋_GB2312"/>
          <w:color w:val="auto"/>
          <w:sz w:val="32"/>
          <w:szCs w:val="32"/>
          <w:highlight w:val="none"/>
        </w:rPr>
        <w:t>原因</w:t>
      </w:r>
      <w:r>
        <w:rPr>
          <w:rFonts w:hint="default" w:ascii="仿宋_GB2312" w:hAnsi="仿宋_GB2312" w:eastAsia="仿宋_GB2312" w:cs="仿宋_GB2312"/>
          <w:color w:val="auto"/>
          <w:sz w:val="32"/>
          <w:szCs w:val="32"/>
          <w:highlight w:val="none"/>
          <w:lang w:val="en"/>
        </w:rPr>
        <w:t>2</w:t>
      </w:r>
      <w:r>
        <w:rPr>
          <w:rFonts w:hint="eastAsia" w:ascii="仿宋_GB2312" w:hAnsi="仿宋_GB2312" w:eastAsia="仿宋_GB2312" w:cs="仿宋_GB2312"/>
          <w:color w:val="auto"/>
          <w:sz w:val="32"/>
          <w:szCs w:val="32"/>
          <w:highlight w:val="none"/>
        </w:rPr>
        <w:t>人去世。</w:t>
      </w:r>
    </w:p>
    <w:p w14:paraId="2321A021">
      <w:pPr>
        <w:spacing w:line="560" w:lineRule="exact"/>
        <w:ind w:firstLine="640" w:firstLineChars="200"/>
        <w:rPr>
          <w:rStyle w:val="53"/>
          <w:rFonts w:ascii="Times New Roman" w:hAnsi="Times New Roman" w:cs="Times New Roman"/>
          <w:color w:val="auto"/>
        </w:rPr>
      </w:pPr>
      <w:r>
        <w:rPr>
          <w:rFonts w:hint="eastAsia" w:eastAsia="黑体"/>
          <w:sz w:val="32"/>
          <w:szCs w:val="32"/>
          <w:lang w:eastAsia="zh-Hans"/>
        </w:rPr>
        <w:t>六</w:t>
      </w:r>
      <w:r>
        <w:rPr>
          <w:rFonts w:eastAsia="黑体"/>
          <w:sz w:val="32"/>
          <w:szCs w:val="32"/>
        </w:rPr>
        <w:t>、主要经验及做法、存在的问题及原因分析</w:t>
      </w:r>
    </w:p>
    <w:p w14:paraId="56DB040F">
      <w:pPr>
        <w:spacing w:line="560" w:lineRule="exact"/>
        <w:ind w:firstLine="627" w:firstLineChars="200"/>
        <w:rPr>
          <w:rFonts w:eastAsia="楷体"/>
          <w:b/>
          <w:spacing w:val="-4"/>
          <w:sz w:val="32"/>
          <w:szCs w:val="32"/>
        </w:rPr>
      </w:pPr>
      <w:r>
        <w:rPr>
          <w:rFonts w:eastAsia="楷体"/>
          <w:b/>
          <w:spacing w:val="-4"/>
          <w:sz w:val="32"/>
          <w:szCs w:val="32"/>
        </w:rPr>
        <w:t>（一）主要经验及做法</w:t>
      </w:r>
    </w:p>
    <w:p w14:paraId="5CA7E04E">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7467EF50">
      <w:pPr>
        <w:pStyle w:val="2"/>
        <w:spacing w:before="0" w:after="0" w:line="560" w:lineRule="exact"/>
        <w:ind w:firstLine="640" w:firstLineChars="200"/>
        <w:jc w:val="left"/>
        <w:rPr>
          <w:rFonts w:ascii="Times New Roman" w:hAnsi="Times New Roman" w:eastAsia="仿宋_GB2312"/>
          <w:b w:val="0"/>
          <w:bCs w:val="0"/>
          <w:kern w:val="2"/>
        </w:rPr>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060C02F7">
      <w:pPr>
        <w:keepNext/>
        <w:keepLines/>
        <w:numPr>
          <w:ilvl w:val="0"/>
          <w:numId w:val="6"/>
        </w:numPr>
        <w:spacing w:line="560" w:lineRule="exact"/>
        <w:ind w:firstLine="643" w:firstLineChars="200"/>
        <w:rPr>
          <w:rFonts w:eastAsia="楷体_GB2312"/>
          <w:b/>
          <w:bCs/>
          <w:sz w:val="32"/>
          <w:szCs w:val="32"/>
        </w:rPr>
      </w:pPr>
      <w:r>
        <w:rPr>
          <w:rFonts w:eastAsia="楷体_GB2312"/>
          <w:b/>
          <w:bCs/>
          <w:sz w:val="32"/>
          <w:szCs w:val="32"/>
        </w:rPr>
        <w:t>存在的问题及原因分析</w:t>
      </w:r>
    </w:p>
    <w:p w14:paraId="70F1819B">
      <w:pPr>
        <w:numPr>
          <w:ilvl w:val="0"/>
          <w:numId w:val="7"/>
        </w:num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相关绩效管理方面专业知识的系统性学习有待加强。各项指标的设置要进一步优化、完善，主要在细化、量化上改进。</w:t>
      </w:r>
    </w:p>
    <w:p w14:paraId="77CA46B0">
      <w:pPr>
        <w:numPr>
          <w:ilvl w:val="0"/>
          <w:numId w:val="7"/>
        </w:num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在绩效自评过程中，由于部分人员缺乏相关绩效管理专业知识，自评价工作还存在自我审定的局限性，影响评价质量。</w:t>
      </w:r>
    </w:p>
    <w:p w14:paraId="33C01F7D">
      <w:pPr>
        <w:spacing w:line="560" w:lineRule="exact"/>
        <w:ind w:firstLine="640" w:firstLineChars="200"/>
        <w:rPr>
          <w:rFonts w:eastAsia="黑体"/>
          <w:sz w:val="32"/>
          <w:szCs w:val="32"/>
        </w:rPr>
      </w:pPr>
      <w:r>
        <w:rPr>
          <w:rFonts w:hint="eastAsia" w:eastAsia="黑体"/>
          <w:sz w:val="32"/>
          <w:szCs w:val="32"/>
          <w:lang w:eastAsia="zh-Hans"/>
        </w:rPr>
        <w:t>七、</w:t>
      </w:r>
      <w:r>
        <w:rPr>
          <w:rFonts w:eastAsia="黑体"/>
          <w:sz w:val="32"/>
          <w:szCs w:val="32"/>
        </w:rPr>
        <w:t>有关建议</w:t>
      </w:r>
    </w:p>
    <w:p w14:paraId="1D8A4799">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14:paraId="3CFD2DFC">
      <w:pPr>
        <w:shd w:val="clear"/>
        <w:spacing w:line="600" w:lineRule="exact"/>
        <w:ind w:firstLine="640" w:firstLineChars="200"/>
        <w:outlineLvl w:val="0"/>
        <w:rPr>
          <w:sz w:val="22"/>
          <w:szCs w:val="28"/>
        </w:rPr>
      </w:pPr>
      <w:r>
        <w:rPr>
          <w:rFonts w:hint="eastAsia" w:ascii="仿宋_GB2312" w:hAnsi="仿宋_GB2312" w:eastAsia="仿宋_GB2312" w:cs="仿宋_GB2312"/>
          <w:sz w:val="32"/>
          <w:szCs w:val="32"/>
          <w:highlight w:val="none"/>
          <w:lang w:val="en-US" w:eastAsia="zh-CN"/>
        </w:rPr>
        <w:t>2.进一步完善项目评价过程中有关数据和资料的收集、整理、审核及分析。项目启动时同步做好档案的归纳与整理，及时整理、收集、汇总，健全档案资料。项目后续管理有待进一步加强和跟踪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14:paraId="4A762D67">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3.进一步加强对绩效管理工作的组织领导，提高对预算绩效管理工作重要性的认识，总结经验查找问题，抓紧研究制定更全面更完善的绩效评价管理办法。</w:t>
      </w:r>
    </w:p>
    <w:p w14:paraId="2FA820CB">
      <w:pPr>
        <w:spacing w:line="560" w:lineRule="exact"/>
        <w:ind w:firstLine="640" w:firstLineChars="200"/>
        <w:rPr>
          <w:rFonts w:eastAsia="黑体"/>
          <w:sz w:val="32"/>
          <w:szCs w:val="32"/>
        </w:rPr>
      </w:pPr>
      <w:r>
        <w:rPr>
          <w:rFonts w:hint="eastAsia" w:eastAsia="黑体"/>
          <w:sz w:val="32"/>
          <w:szCs w:val="32"/>
          <w:lang w:eastAsia="zh-Hans"/>
        </w:rPr>
        <w:t>八、</w:t>
      </w:r>
      <w:r>
        <w:rPr>
          <w:rFonts w:eastAsia="黑体"/>
          <w:sz w:val="32"/>
          <w:szCs w:val="32"/>
        </w:rPr>
        <w:t>其他需要说明的问题</w:t>
      </w:r>
    </w:p>
    <w:p w14:paraId="215603B4">
      <w:pPr>
        <w:pStyle w:val="21"/>
        <w:spacing w:after="0" w:line="560" w:lineRule="exact"/>
        <w:ind w:left="0" w:leftChars="0" w:firstLine="64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Hans"/>
        </w:rPr>
        <w:t>本项目无其他需说明的问题。</w:t>
      </w:r>
    </w:p>
    <w:p w14:paraId="44D0DF71">
      <w:pPr>
        <w:pStyle w:val="2"/>
        <w:jc w:val="both"/>
        <w:rPr>
          <w:rFonts w:hint="eastAsia" w:ascii="仿宋_GB2312" w:hAnsi="仿宋_GB2312" w:eastAsia="仿宋_GB2312" w:cs="仿宋_GB2312"/>
          <w:b w:val="0"/>
          <w:bCs w:val="0"/>
          <w:kern w:val="2"/>
          <w:sz w:val="32"/>
          <w:szCs w:val="32"/>
          <w:lang w:val="en-US" w:eastAsia="zh-CN" w:bidi="ar-SA"/>
        </w:rPr>
      </w:pPr>
    </w:p>
    <w:p w14:paraId="31B08372">
      <w:pPr>
        <w:pStyle w:val="2"/>
        <w:pageBreakBefore w:val="0"/>
        <w:kinsoku/>
        <w:wordWrap/>
        <w:overflowPunct/>
        <w:topLinePunct w:val="0"/>
        <w:autoSpaceDE/>
        <w:autoSpaceDN/>
        <w:bidi w:val="0"/>
        <w:adjustRightInd/>
        <w:snapToGrid/>
        <w:spacing w:line="560" w:lineRule="exact"/>
        <w:jc w:val="both"/>
        <w:rPr>
          <w:rFonts w:ascii="Times New Roman" w:hAnsi="Times New Roman"/>
        </w:rPr>
        <w:sectPr>
          <w:footerReference r:id="rId3" w:type="default"/>
          <w:pgSz w:w="11906" w:h="16838"/>
          <w:pgMar w:top="1440" w:right="1558" w:bottom="1440" w:left="1800" w:header="851" w:footer="992" w:gutter="0"/>
          <w:cols w:space="425" w:num="1"/>
          <w:docGrid w:type="lines" w:linePitch="312" w:charSpace="0"/>
        </w:sectPr>
      </w:pPr>
    </w:p>
    <w:p w14:paraId="46B48F36">
      <w:pPr>
        <w:pStyle w:val="54"/>
        <w:ind w:firstLine="562"/>
        <w:jc w:val="center"/>
        <w:rPr>
          <w:rFonts w:hint="eastAsia" w:ascii="Times New Roman" w:hAnsi="Times New Roman" w:eastAsia="宋体" w:cs="Times New Roman"/>
          <w:b/>
          <w:bCs/>
          <w:sz w:val="28"/>
          <w:szCs w:val="40"/>
        </w:rPr>
      </w:pPr>
      <w:bookmarkStart w:id="0" w:name="_Toc30064_WPSOffice_Level1"/>
      <w:bookmarkStart w:id="1" w:name="_Toc26499_WPSOffice_Level2"/>
    </w:p>
    <w:p w14:paraId="43CA3C0C">
      <w:pPr>
        <w:pStyle w:val="54"/>
        <w:ind w:firstLine="562"/>
        <w:jc w:val="center"/>
        <w:rPr>
          <w:sz w:val="28"/>
          <w:szCs w:val="40"/>
        </w:rPr>
      </w:pPr>
      <w:r>
        <w:rPr>
          <w:rFonts w:hint="eastAsia" w:ascii="Times New Roman" w:hAnsi="Times New Roman" w:eastAsia="宋体" w:cs="Times New Roman"/>
          <w:b/>
          <w:bCs/>
          <w:sz w:val="28"/>
          <w:szCs w:val="40"/>
        </w:rPr>
        <w:t>六十年代精简退职老职工生活补助费项目绩效</w:t>
      </w:r>
      <w:r>
        <w:rPr>
          <w:rFonts w:hint="eastAsia"/>
          <w:b/>
          <w:bCs/>
          <w:sz w:val="28"/>
          <w:szCs w:val="40"/>
        </w:rPr>
        <w:t>评价指标体系及综合评分表</w:t>
      </w:r>
      <w:bookmarkEnd w:id="0"/>
      <w:bookmarkEnd w:id="1"/>
    </w:p>
    <w:tbl>
      <w:tblPr>
        <w:tblStyle w:val="22"/>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32"/>
        <w:gridCol w:w="764"/>
        <w:gridCol w:w="873"/>
        <w:gridCol w:w="2353"/>
        <w:gridCol w:w="5198"/>
        <w:gridCol w:w="1300"/>
        <w:gridCol w:w="1363"/>
      </w:tblGrid>
      <w:tr w14:paraId="3CC3EE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28" w:type="pct"/>
            <w:shd w:val="clear" w:color="auto" w:fill="FFFFFF"/>
            <w:vAlign w:val="center"/>
          </w:tcPr>
          <w:p w14:paraId="33A0304F">
            <w:pPr>
              <w:widowControl/>
              <w:spacing w:line="0" w:lineRule="atLeast"/>
              <w:jc w:val="center"/>
              <w:rPr>
                <w:b/>
                <w:bCs/>
                <w:color w:val="000000"/>
                <w:kern w:val="0"/>
                <w:sz w:val="22"/>
                <w:szCs w:val="22"/>
              </w:rPr>
            </w:pPr>
            <w:r>
              <w:rPr>
                <w:b/>
                <w:bCs/>
                <w:color w:val="000000"/>
                <w:kern w:val="0"/>
                <w:sz w:val="22"/>
                <w:szCs w:val="22"/>
              </w:rPr>
              <w:t>一级指标</w:t>
            </w:r>
          </w:p>
        </w:tc>
        <w:tc>
          <w:tcPr>
            <w:tcW w:w="301" w:type="pct"/>
            <w:shd w:val="clear" w:color="auto" w:fill="FFFFFF"/>
            <w:vAlign w:val="center"/>
          </w:tcPr>
          <w:p w14:paraId="4A94B386">
            <w:pPr>
              <w:widowControl/>
              <w:spacing w:line="0" w:lineRule="atLeast"/>
              <w:jc w:val="center"/>
              <w:rPr>
                <w:b/>
                <w:bCs/>
                <w:color w:val="000000"/>
                <w:kern w:val="0"/>
                <w:sz w:val="22"/>
                <w:szCs w:val="22"/>
              </w:rPr>
            </w:pPr>
            <w:r>
              <w:rPr>
                <w:b/>
                <w:bCs/>
                <w:color w:val="000000"/>
                <w:kern w:val="0"/>
                <w:sz w:val="22"/>
                <w:szCs w:val="22"/>
              </w:rPr>
              <w:t>二级指标</w:t>
            </w:r>
          </w:p>
        </w:tc>
        <w:tc>
          <w:tcPr>
            <w:tcW w:w="344" w:type="pct"/>
            <w:shd w:val="clear" w:color="auto" w:fill="FFFFFF"/>
            <w:vAlign w:val="center"/>
          </w:tcPr>
          <w:p w14:paraId="4B1CBF55">
            <w:pPr>
              <w:widowControl/>
              <w:spacing w:line="0" w:lineRule="atLeast"/>
              <w:jc w:val="center"/>
              <w:rPr>
                <w:b/>
                <w:bCs/>
                <w:color w:val="000000"/>
                <w:kern w:val="0"/>
                <w:sz w:val="22"/>
                <w:szCs w:val="22"/>
              </w:rPr>
            </w:pPr>
            <w:r>
              <w:rPr>
                <w:b/>
                <w:bCs/>
                <w:color w:val="000000"/>
                <w:kern w:val="0"/>
                <w:sz w:val="22"/>
                <w:szCs w:val="22"/>
              </w:rPr>
              <w:t>三级指标</w:t>
            </w:r>
          </w:p>
        </w:tc>
        <w:tc>
          <w:tcPr>
            <w:tcW w:w="927" w:type="pct"/>
            <w:shd w:val="clear" w:color="auto" w:fill="FFFFFF"/>
            <w:vAlign w:val="center"/>
          </w:tcPr>
          <w:p w14:paraId="3E65FC60">
            <w:pPr>
              <w:widowControl/>
              <w:spacing w:line="0" w:lineRule="atLeast"/>
              <w:jc w:val="center"/>
              <w:rPr>
                <w:b/>
                <w:bCs/>
                <w:color w:val="000000"/>
                <w:kern w:val="0"/>
                <w:sz w:val="22"/>
                <w:szCs w:val="22"/>
              </w:rPr>
            </w:pPr>
            <w:r>
              <w:rPr>
                <w:b/>
                <w:bCs/>
                <w:color w:val="000000"/>
                <w:kern w:val="0"/>
                <w:sz w:val="22"/>
                <w:szCs w:val="22"/>
              </w:rPr>
              <w:t>指标解释</w:t>
            </w:r>
          </w:p>
        </w:tc>
        <w:tc>
          <w:tcPr>
            <w:tcW w:w="2048" w:type="pct"/>
            <w:shd w:val="clear" w:color="auto" w:fill="FFFFFF"/>
            <w:vAlign w:val="center"/>
          </w:tcPr>
          <w:p w14:paraId="4271649E">
            <w:pPr>
              <w:widowControl/>
              <w:spacing w:line="0" w:lineRule="atLeast"/>
              <w:jc w:val="center"/>
              <w:rPr>
                <w:b/>
                <w:bCs/>
                <w:color w:val="000000"/>
                <w:kern w:val="0"/>
                <w:sz w:val="22"/>
                <w:szCs w:val="22"/>
              </w:rPr>
            </w:pPr>
            <w:r>
              <w:rPr>
                <w:b/>
                <w:bCs/>
                <w:color w:val="000000"/>
                <w:kern w:val="0"/>
                <w:sz w:val="22"/>
                <w:szCs w:val="22"/>
              </w:rPr>
              <w:t>指标说明</w:t>
            </w:r>
          </w:p>
        </w:tc>
        <w:tc>
          <w:tcPr>
            <w:tcW w:w="512" w:type="pct"/>
            <w:shd w:val="clear" w:color="auto" w:fill="FFFFFF"/>
            <w:vAlign w:val="center"/>
          </w:tcPr>
          <w:p w14:paraId="58062A1B">
            <w:pPr>
              <w:widowControl/>
              <w:spacing w:line="0" w:lineRule="atLeast"/>
              <w:jc w:val="center"/>
              <w:rPr>
                <w:b/>
                <w:bCs/>
                <w:color w:val="000000"/>
                <w:kern w:val="0"/>
                <w:sz w:val="22"/>
                <w:szCs w:val="22"/>
              </w:rPr>
            </w:pPr>
            <w:r>
              <w:rPr>
                <w:b/>
                <w:bCs/>
                <w:color w:val="000000"/>
                <w:kern w:val="0"/>
                <w:sz w:val="22"/>
                <w:szCs w:val="22"/>
              </w:rPr>
              <w:t>权重</w:t>
            </w:r>
          </w:p>
        </w:tc>
        <w:tc>
          <w:tcPr>
            <w:tcW w:w="537" w:type="pct"/>
            <w:shd w:val="clear" w:color="auto" w:fill="FFFFFF"/>
            <w:vAlign w:val="center"/>
          </w:tcPr>
          <w:p w14:paraId="76AD65D8">
            <w:pPr>
              <w:widowControl/>
              <w:spacing w:line="0" w:lineRule="atLeast"/>
              <w:jc w:val="center"/>
              <w:rPr>
                <w:b/>
                <w:bCs/>
                <w:color w:val="000000"/>
                <w:kern w:val="0"/>
                <w:sz w:val="22"/>
                <w:szCs w:val="22"/>
              </w:rPr>
            </w:pPr>
            <w:r>
              <w:rPr>
                <w:b/>
                <w:bCs/>
                <w:color w:val="000000"/>
                <w:kern w:val="0"/>
                <w:sz w:val="22"/>
                <w:szCs w:val="22"/>
              </w:rPr>
              <w:t>得分</w:t>
            </w:r>
          </w:p>
        </w:tc>
      </w:tr>
      <w:tr w14:paraId="2A9F98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28" w:type="pct"/>
            <w:vMerge w:val="restart"/>
            <w:shd w:val="clear" w:color="auto" w:fill="FFFFFF"/>
            <w:vAlign w:val="center"/>
          </w:tcPr>
          <w:p w14:paraId="57A4BAA6">
            <w:pPr>
              <w:widowControl/>
              <w:spacing w:line="0" w:lineRule="atLeast"/>
              <w:jc w:val="center"/>
              <w:rPr>
                <w:color w:val="000000"/>
                <w:kern w:val="0"/>
                <w:sz w:val="22"/>
                <w:szCs w:val="22"/>
              </w:rPr>
            </w:pPr>
          </w:p>
          <w:p w14:paraId="66454C53">
            <w:pPr>
              <w:widowControl/>
              <w:spacing w:line="0" w:lineRule="atLeast"/>
              <w:jc w:val="center"/>
              <w:rPr>
                <w:color w:val="000000"/>
                <w:kern w:val="0"/>
                <w:sz w:val="22"/>
                <w:szCs w:val="22"/>
              </w:rPr>
            </w:pPr>
          </w:p>
          <w:p w14:paraId="1059F13A">
            <w:pPr>
              <w:widowControl/>
              <w:spacing w:line="0" w:lineRule="atLeast"/>
              <w:jc w:val="center"/>
              <w:rPr>
                <w:color w:val="000000"/>
                <w:kern w:val="0"/>
                <w:sz w:val="22"/>
                <w:szCs w:val="22"/>
              </w:rPr>
            </w:pPr>
          </w:p>
          <w:p w14:paraId="6E545510">
            <w:pPr>
              <w:widowControl/>
              <w:spacing w:line="0" w:lineRule="atLeast"/>
              <w:jc w:val="center"/>
              <w:rPr>
                <w:color w:val="000000"/>
                <w:kern w:val="0"/>
                <w:sz w:val="22"/>
                <w:szCs w:val="22"/>
              </w:rPr>
            </w:pPr>
          </w:p>
          <w:p w14:paraId="12EBFB17">
            <w:pPr>
              <w:widowControl/>
              <w:spacing w:line="0" w:lineRule="atLeast"/>
              <w:jc w:val="center"/>
              <w:rPr>
                <w:color w:val="000000"/>
                <w:kern w:val="0"/>
                <w:sz w:val="22"/>
                <w:szCs w:val="22"/>
              </w:rPr>
            </w:pPr>
          </w:p>
          <w:p w14:paraId="52309DB3">
            <w:pPr>
              <w:widowControl/>
              <w:spacing w:line="0" w:lineRule="atLeast"/>
              <w:jc w:val="center"/>
              <w:rPr>
                <w:color w:val="000000"/>
                <w:kern w:val="0"/>
                <w:sz w:val="22"/>
                <w:szCs w:val="22"/>
              </w:rPr>
            </w:pPr>
          </w:p>
          <w:p w14:paraId="3D3C06EB">
            <w:pPr>
              <w:widowControl/>
              <w:spacing w:line="0" w:lineRule="atLeast"/>
              <w:jc w:val="center"/>
              <w:rPr>
                <w:color w:val="000000"/>
                <w:kern w:val="0"/>
                <w:sz w:val="22"/>
                <w:szCs w:val="22"/>
              </w:rPr>
            </w:pPr>
            <w:r>
              <w:rPr>
                <w:color w:val="000000"/>
                <w:kern w:val="0"/>
                <w:sz w:val="22"/>
                <w:szCs w:val="22"/>
              </w:rPr>
              <w:t>决策　</w:t>
            </w:r>
          </w:p>
        </w:tc>
        <w:tc>
          <w:tcPr>
            <w:tcW w:w="301" w:type="pct"/>
            <w:vMerge w:val="restart"/>
            <w:shd w:val="clear" w:color="auto" w:fill="FFFFFF"/>
            <w:vAlign w:val="center"/>
          </w:tcPr>
          <w:p w14:paraId="06EEF0FC">
            <w:pPr>
              <w:widowControl/>
              <w:spacing w:line="0" w:lineRule="atLeast"/>
              <w:jc w:val="center"/>
              <w:rPr>
                <w:color w:val="000000"/>
                <w:kern w:val="0"/>
                <w:sz w:val="22"/>
                <w:szCs w:val="22"/>
              </w:rPr>
            </w:pPr>
            <w:r>
              <w:rPr>
                <w:color w:val="000000"/>
                <w:kern w:val="0"/>
                <w:sz w:val="22"/>
                <w:szCs w:val="22"/>
              </w:rPr>
              <w:t>项目立项　</w:t>
            </w:r>
          </w:p>
        </w:tc>
        <w:tc>
          <w:tcPr>
            <w:tcW w:w="344" w:type="pct"/>
            <w:shd w:val="clear" w:color="auto" w:fill="FFFFFF"/>
            <w:vAlign w:val="center"/>
          </w:tcPr>
          <w:p w14:paraId="6101DE99">
            <w:pPr>
              <w:widowControl/>
              <w:spacing w:line="0" w:lineRule="atLeast"/>
              <w:jc w:val="center"/>
              <w:rPr>
                <w:color w:val="000000"/>
                <w:kern w:val="0"/>
                <w:sz w:val="22"/>
                <w:szCs w:val="22"/>
              </w:rPr>
            </w:pPr>
            <w:r>
              <w:rPr>
                <w:color w:val="000000"/>
                <w:kern w:val="0"/>
                <w:sz w:val="22"/>
                <w:szCs w:val="22"/>
              </w:rPr>
              <w:t>立项依据</w:t>
            </w:r>
          </w:p>
          <w:p w14:paraId="3781F1A4">
            <w:pPr>
              <w:widowControl/>
              <w:spacing w:line="0" w:lineRule="atLeast"/>
              <w:jc w:val="center"/>
              <w:rPr>
                <w:color w:val="000000"/>
                <w:kern w:val="0"/>
                <w:sz w:val="22"/>
                <w:szCs w:val="22"/>
              </w:rPr>
            </w:pPr>
            <w:r>
              <w:rPr>
                <w:color w:val="000000"/>
                <w:kern w:val="0"/>
                <w:sz w:val="22"/>
                <w:szCs w:val="22"/>
              </w:rPr>
              <w:t>充分性</w:t>
            </w:r>
          </w:p>
        </w:tc>
        <w:tc>
          <w:tcPr>
            <w:tcW w:w="927" w:type="pct"/>
            <w:shd w:val="clear" w:color="auto" w:fill="FFFFFF"/>
            <w:vAlign w:val="center"/>
          </w:tcPr>
          <w:p w14:paraId="1F02D56F">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2048" w:type="pct"/>
            <w:shd w:val="clear" w:color="auto" w:fill="FFFFFF"/>
            <w:vAlign w:val="center"/>
          </w:tcPr>
          <w:p w14:paraId="441C7C5D">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512" w:type="pct"/>
            <w:shd w:val="clear" w:color="auto" w:fill="FFFFFF"/>
            <w:vAlign w:val="center"/>
          </w:tcPr>
          <w:p w14:paraId="54C9B753">
            <w:pPr>
              <w:widowControl/>
              <w:spacing w:line="0" w:lineRule="atLeast"/>
              <w:jc w:val="center"/>
              <w:rPr>
                <w:b/>
                <w:bCs/>
                <w:color w:val="000000"/>
                <w:kern w:val="0"/>
                <w:sz w:val="22"/>
                <w:szCs w:val="22"/>
              </w:rPr>
            </w:pPr>
            <w:r>
              <w:rPr>
                <w:b/>
                <w:bCs/>
                <w:color w:val="000000"/>
                <w:kern w:val="0"/>
                <w:sz w:val="22"/>
                <w:szCs w:val="22"/>
              </w:rPr>
              <w:t>3</w:t>
            </w:r>
          </w:p>
        </w:tc>
        <w:tc>
          <w:tcPr>
            <w:tcW w:w="537" w:type="pct"/>
            <w:shd w:val="clear" w:color="auto" w:fill="FFFFFF"/>
            <w:vAlign w:val="center"/>
          </w:tcPr>
          <w:p w14:paraId="5E34A8CD">
            <w:pPr>
              <w:widowControl/>
              <w:spacing w:line="0" w:lineRule="atLeast"/>
              <w:jc w:val="center"/>
              <w:rPr>
                <w:rFonts w:hint="eastAsia" w:eastAsia="宋体"/>
                <w:b/>
                <w:bCs/>
                <w:color w:val="000000"/>
                <w:kern w:val="0"/>
                <w:sz w:val="22"/>
                <w:szCs w:val="22"/>
                <w:lang w:val="en-US" w:eastAsia="zh-CN"/>
              </w:rPr>
            </w:pPr>
            <w:r>
              <w:rPr>
                <w:rFonts w:hint="eastAsia"/>
                <w:b/>
                <w:bCs/>
                <w:color w:val="000000"/>
                <w:kern w:val="0"/>
                <w:sz w:val="22"/>
                <w:szCs w:val="22"/>
                <w:lang w:val="en-US" w:eastAsia="zh-CN"/>
              </w:rPr>
              <w:t>3</w:t>
            </w:r>
          </w:p>
        </w:tc>
      </w:tr>
      <w:tr w14:paraId="5658B7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28" w:type="pct"/>
            <w:vMerge w:val="continue"/>
            <w:shd w:val="clear" w:color="auto" w:fill="FFFFFF"/>
            <w:vAlign w:val="center"/>
          </w:tcPr>
          <w:p w14:paraId="0623B6C7">
            <w:pPr>
              <w:spacing w:line="0" w:lineRule="atLeast"/>
              <w:jc w:val="center"/>
              <w:rPr>
                <w:color w:val="000000"/>
                <w:kern w:val="0"/>
                <w:sz w:val="22"/>
                <w:szCs w:val="22"/>
              </w:rPr>
            </w:pPr>
          </w:p>
        </w:tc>
        <w:tc>
          <w:tcPr>
            <w:tcW w:w="301" w:type="pct"/>
            <w:vMerge w:val="continue"/>
            <w:shd w:val="clear" w:color="auto" w:fill="FFFFFF"/>
            <w:vAlign w:val="center"/>
          </w:tcPr>
          <w:p w14:paraId="5E09278E">
            <w:pPr>
              <w:widowControl/>
              <w:spacing w:line="0" w:lineRule="atLeast"/>
              <w:jc w:val="center"/>
              <w:rPr>
                <w:color w:val="000000"/>
                <w:kern w:val="0"/>
                <w:sz w:val="22"/>
                <w:szCs w:val="22"/>
              </w:rPr>
            </w:pPr>
          </w:p>
        </w:tc>
        <w:tc>
          <w:tcPr>
            <w:tcW w:w="344" w:type="pct"/>
            <w:shd w:val="clear" w:color="auto" w:fill="FFFFFF"/>
            <w:vAlign w:val="center"/>
          </w:tcPr>
          <w:p w14:paraId="37DF4318">
            <w:pPr>
              <w:widowControl/>
              <w:spacing w:line="0" w:lineRule="atLeast"/>
              <w:jc w:val="center"/>
              <w:rPr>
                <w:color w:val="000000"/>
                <w:kern w:val="0"/>
                <w:sz w:val="22"/>
                <w:szCs w:val="22"/>
              </w:rPr>
            </w:pPr>
            <w:r>
              <w:rPr>
                <w:color w:val="000000"/>
                <w:kern w:val="0"/>
                <w:sz w:val="22"/>
                <w:szCs w:val="22"/>
              </w:rPr>
              <w:t>立项程序</w:t>
            </w:r>
          </w:p>
          <w:p w14:paraId="68D45D37">
            <w:pPr>
              <w:widowControl/>
              <w:spacing w:line="0" w:lineRule="atLeast"/>
              <w:jc w:val="center"/>
              <w:rPr>
                <w:color w:val="000000"/>
                <w:kern w:val="0"/>
                <w:sz w:val="22"/>
                <w:szCs w:val="22"/>
              </w:rPr>
            </w:pPr>
            <w:r>
              <w:rPr>
                <w:color w:val="000000"/>
                <w:kern w:val="0"/>
                <w:sz w:val="22"/>
                <w:szCs w:val="22"/>
              </w:rPr>
              <w:t>规范性</w:t>
            </w:r>
          </w:p>
        </w:tc>
        <w:tc>
          <w:tcPr>
            <w:tcW w:w="927" w:type="pct"/>
            <w:shd w:val="clear" w:color="auto" w:fill="FFFFFF"/>
            <w:vAlign w:val="center"/>
          </w:tcPr>
          <w:p w14:paraId="61A2D695">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2048" w:type="pct"/>
            <w:shd w:val="clear" w:color="auto" w:fill="FFFFFF"/>
            <w:vAlign w:val="center"/>
          </w:tcPr>
          <w:p w14:paraId="53F6532B">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512" w:type="pct"/>
            <w:shd w:val="clear" w:color="auto" w:fill="FFFFFF"/>
            <w:vAlign w:val="center"/>
          </w:tcPr>
          <w:p w14:paraId="420885E5">
            <w:pPr>
              <w:widowControl/>
              <w:spacing w:line="0" w:lineRule="atLeast"/>
              <w:jc w:val="center"/>
              <w:rPr>
                <w:b/>
                <w:bCs/>
                <w:color w:val="000000"/>
                <w:kern w:val="0"/>
                <w:sz w:val="22"/>
                <w:szCs w:val="22"/>
              </w:rPr>
            </w:pPr>
            <w:r>
              <w:rPr>
                <w:b/>
                <w:bCs/>
                <w:color w:val="000000"/>
                <w:kern w:val="0"/>
                <w:sz w:val="22"/>
                <w:szCs w:val="22"/>
              </w:rPr>
              <w:t>3</w:t>
            </w:r>
          </w:p>
        </w:tc>
        <w:tc>
          <w:tcPr>
            <w:tcW w:w="537" w:type="pct"/>
            <w:shd w:val="clear" w:color="auto" w:fill="FFFFFF"/>
            <w:vAlign w:val="center"/>
          </w:tcPr>
          <w:p w14:paraId="6479D80A">
            <w:pPr>
              <w:widowControl/>
              <w:spacing w:line="0" w:lineRule="atLeast"/>
              <w:jc w:val="center"/>
              <w:rPr>
                <w:rFonts w:hint="eastAsia" w:eastAsia="宋体"/>
                <w:b/>
                <w:bCs/>
                <w:color w:val="000000"/>
                <w:kern w:val="0"/>
                <w:sz w:val="22"/>
                <w:szCs w:val="22"/>
                <w:lang w:val="en-US" w:eastAsia="zh-CN"/>
              </w:rPr>
            </w:pPr>
            <w:r>
              <w:rPr>
                <w:rFonts w:hint="eastAsia"/>
                <w:b/>
                <w:bCs/>
                <w:color w:val="000000"/>
                <w:kern w:val="0"/>
                <w:sz w:val="22"/>
                <w:szCs w:val="22"/>
                <w:lang w:val="en-US" w:eastAsia="zh-CN"/>
              </w:rPr>
              <w:t>3</w:t>
            </w:r>
          </w:p>
        </w:tc>
      </w:tr>
      <w:tr w14:paraId="796BD3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28" w:type="pct"/>
            <w:vMerge w:val="continue"/>
            <w:shd w:val="clear" w:color="auto" w:fill="FFFFFF"/>
            <w:vAlign w:val="center"/>
          </w:tcPr>
          <w:p w14:paraId="569F3452">
            <w:pPr>
              <w:spacing w:line="0" w:lineRule="atLeast"/>
              <w:jc w:val="center"/>
              <w:rPr>
                <w:color w:val="000000"/>
                <w:kern w:val="0"/>
                <w:sz w:val="22"/>
                <w:szCs w:val="22"/>
              </w:rPr>
            </w:pPr>
          </w:p>
        </w:tc>
        <w:tc>
          <w:tcPr>
            <w:tcW w:w="301" w:type="pct"/>
            <w:vMerge w:val="restart"/>
            <w:shd w:val="clear" w:color="auto" w:fill="FFFFFF"/>
            <w:vAlign w:val="center"/>
          </w:tcPr>
          <w:p w14:paraId="07CDB58E">
            <w:pPr>
              <w:widowControl/>
              <w:spacing w:line="0" w:lineRule="atLeast"/>
              <w:jc w:val="center"/>
              <w:rPr>
                <w:color w:val="000000"/>
                <w:kern w:val="0"/>
                <w:sz w:val="22"/>
                <w:szCs w:val="22"/>
              </w:rPr>
            </w:pPr>
            <w:r>
              <w:rPr>
                <w:color w:val="000000"/>
                <w:kern w:val="0"/>
                <w:sz w:val="22"/>
                <w:szCs w:val="22"/>
              </w:rPr>
              <w:t>绩效目标　</w:t>
            </w:r>
          </w:p>
        </w:tc>
        <w:tc>
          <w:tcPr>
            <w:tcW w:w="344" w:type="pct"/>
            <w:shd w:val="clear" w:color="auto" w:fill="FFFFFF"/>
            <w:vAlign w:val="center"/>
          </w:tcPr>
          <w:p w14:paraId="2C0DB194">
            <w:pPr>
              <w:widowControl/>
              <w:spacing w:line="0" w:lineRule="atLeast"/>
              <w:jc w:val="center"/>
              <w:rPr>
                <w:color w:val="000000"/>
                <w:kern w:val="0"/>
                <w:sz w:val="22"/>
                <w:szCs w:val="22"/>
              </w:rPr>
            </w:pPr>
            <w:r>
              <w:rPr>
                <w:color w:val="000000"/>
                <w:kern w:val="0"/>
                <w:sz w:val="22"/>
                <w:szCs w:val="22"/>
              </w:rPr>
              <w:t>绩效目标</w:t>
            </w:r>
          </w:p>
          <w:p w14:paraId="67868967">
            <w:pPr>
              <w:widowControl/>
              <w:spacing w:line="0" w:lineRule="atLeast"/>
              <w:jc w:val="center"/>
              <w:rPr>
                <w:color w:val="000000"/>
                <w:kern w:val="0"/>
                <w:sz w:val="22"/>
                <w:szCs w:val="22"/>
              </w:rPr>
            </w:pPr>
            <w:r>
              <w:rPr>
                <w:color w:val="000000"/>
                <w:kern w:val="0"/>
                <w:sz w:val="22"/>
                <w:szCs w:val="22"/>
              </w:rPr>
              <w:t>合理性</w:t>
            </w:r>
          </w:p>
        </w:tc>
        <w:tc>
          <w:tcPr>
            <w:tcW w:w="927" w:type="pct"/>
            <w:shd w:val="clear" w:color="000000" w:fill="FFFFFF"/>
            <w:vAlign w:val="center"/>
          </w:tcPr>
          <w:p w14:paraId="07C410FA">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2048" w:type="pct"/>
            <w:shd w:val="clear" w:color="000000" w:fill="FFFFFF"/>
            <w:vAlign w:val="center"/>
          </w:tcPr>
          <w:p w14:paraId="62939AF0">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14:paraId="594F5933">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512" w:type="pct"/>
            <w:shd w:val="clear" w:color="000000" w:fill="FFFFFF"/>
            <w:vAlign w:val="center"/>
          </w:tcPr>
          <w:p w14:paraId="294BA87F">
            <w:pPr>
              <w:widowControl/>
              <w:spacing w:line="0" w:lineRule="atLeast"/>
              <w:jc w:val="center"/>
              <w:rPr>
                <w:b/>
                <w:bCs/>
                <w:color w:val="000000"/>
                <w:kern w:val="0"/>
                <w:sz w:val="22"/>
                <w:szCs w:val="22"/>
              </w:rPr>
            </w:pPr>
            <w:r>
              <w:rPr>
                <w:b/>
                <w:bCs/>
                <w:color w:val="000000"/>
                <w:kern w:val="0"/>
                <w:sz w:val="22"/>
                <w:szCs w:val="22"/>
              </w:rPr>
              <w:t>3</w:t>
            </w:r>
          </w:p>
        </w:tc>
        <w:tc>
          <w:tcPr>
            <w:tcW w:w="537" w:type="pct"/>
            <w:shd w:val="clear" w:color="000000" w:fill="FFFFFF"/>
            <w:vAlign w:val="center"/>
          </w:tcPr>
          <w:p w14:paraId="3189CB64">
            <w:pPr>
              <w:widowControl/>
              <w:spacing w:line="0" w:lineRule="atLeast"/>
              <w:jc w:val="center"/>
              <w:rPr>
                <w:rFonts w:hint="eastAsia" w:eastAsia="宋体"/>
                <w:b/>
                <w:bCs/>
                <w:color w:val="000000"/>
                <w:kern w:val="0"/>
                <w:sz w:val="22"/>
                <w:szCs w:val="22"/>
                <w:lang w:val="en-US" w:eastAsia="zh-CN"/>
              </w:rPr>
            </w:pPr>
            <w:r>
              <w:rPr>
                <w:rFonts w:hint="eastAsia"/>
                <w:b/>
                <w:bCs/>
                <w:color w:val="000000"/>
                <w:kern w:val="0"/>
                <w:sz w:val="22"/>
                <w:szCs w:val="22"/>
                <w:lang w:val="en-US" w:eastAsia="zh-CN"/>
              </w:rPr>
              <w:t>3</w:t>
            </w:r>
          </w:p>
        </w:tc>
      </w:tr>
      <w:tr w14:paraId="1D4505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28" w:type="pct"/>
            <w:vMerge w:val="continue"/>
            <w:shd w:val="clear" w:color="auto" w:fill="FFFFFF"/>
            <w:vAlign w:val="center"/>
          </w:tcPr>
          <w:p w14:paraId="222443EE">
            <w:pPr>
              <w:widowControl/>
              <w:spacing w:line="0" w:lineRule="atLeast"/>
              <w:jc w:val="center"/>
              <w:rPr>
                <w:color w:val="000000"/>
                <w:kern w:val="0"/>
                <w:sz w:val="22"/>
                <w:szCs w:val="22"/>
              </w:rPr>
            </w:pPr>
          </w:p>
        </w:tc>
        <w:tc>
          <w:tcPr>
            <w:tcW w:w="301" w:type="pct"/>
            <w:vMerge w:val="continue"/>
            <w:shd w:val="clear" w:color="auto" w:fill="FFFFFF"/>
            <w:vAlign w:val="center"/>
          </w:tcPr>
          <w:p w14:paraId="48FEBAAB">
            <w:pPr>
              <w:widowControl/>
              <w:spacing w:line="0" w:lineRule="atLeast"/>
              <w:jc w:val="center"/>
              <w:rPr>
                <w:color w:val="000000"/>
                <w:kern w:val="0"/>
                <w:sz w:val="22"/>
                <w:szCs w:val="22"/>
              </w:rPr>
            </w:pPr>
          </w:p>
        </w:tc>
        <w:tc>
          <w:tcPr>
            <w:tcW w:w="344" w:type="pct"/>
            <w:shd w:val="clear" w:color="auto" w:fill="FFFFFF"/>
            <w:vAlign w:val="center"/>
          </w:tcPr>
          <w:p w14:paraId="54B03E40">
            <w:pPr>
              <w:widowControl/>
              <w:spacing w:line="0" w:lineRule="atLeast"/>
              <w:jc w:val="center"/>
              <w:rPr>
                <w:color w:val="000000"/>
                <w:kern w:val="0"/>
                <w:sz w:val="22"/>
                <w:szCs w:val="22"/>
              </w:rPr>
            </w:pPr>
            <w:r>
              <w:rPr>
                <w:color w:val="000000"/>
                <w:kern w:val="0"/>
                <w:sz w:val="22"/>
                <w:szCs w:val="22"/>
              </w:rPr>
              <w:t>绩效指标</w:t>
            </w:r>
          </w:p>
          <w:p w14:paraId="622BC9DF">
            <w:pPr>
              <w:widowControl/>
              <w:spacing w:line="0" w:lineRule="atLeast"/>
              <w:jc w:val="center"/>
              <w:rPr>
                <w:color w:val="000000"/>
                <w:kern w:val="0"/>
                <w:sz w:val="22"/>
                <w:szCs w:val="22"/>
              </w:rPr>
            </w:pPr>
            <w:r>
              <w:rPr>
                <w:color w:val="000000"/>
                <w:kern w:val="0"/>
                <w:sz w:val="22"/>
                <w:szCs w:val="22"/>
              </w:rPr>
              <w:t>明确性</w:t>
            </w:r>
          </w:p>
        </w:tc>
        <w:tc>
          <w:tcPr>
            <w:tcW w:w="927" w:type="pct"/>
            <w:shd w:val="clear" w:color="000000" w:fill="FFFFFF"/>
            <w:vAlign w:val="center"/>
          </w:tcPr>
          <w:p w14:paraId="5502EFFF">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2048" w:type="pct"/>
            <w:shd w:val="clear" w:color="000000" w:fill="FFFFFF"/>
            <w:vAlign w:val="center"/>
          </w:tcPr>
          <w:p w14:paraId="5825159B">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512" w:type="pct"/>
            <w:shd w:val="clear" w:color="000000" w:fill="FFFFFF"/>
            <w:vAlign w:val="center"/>
          </w:tcPr>
          <w:p w14:paraId="4BDD82FD">
            <w:pPr>
              <w:widowControl/>
              <w:spacing w:line="0" w:lineRule="atLeast"/>
              <w:jc w:val="center"/>
              <w:rPr>
                <w:b/>
                <w:bCs/>
                <w:color w:val="000000"/>
                <w:kern w:val="0"/>
                <w:sz w:val="22"/>
                <w:szCs w:val="22"/>
              </w:rPr>
            </w:pPr>
            <w:r>
              <w:rPr>
                <w:b/>
                <w:bCs/>
                <w:color w:val="000000"/>
                <w:kern w:val="0"/>
                <w:sz w:val="22"/>
                <w:szCs w:val="22"/>
              </w:rPr>
              <w:t>3</w:t>
            </w:r>
          </w:p>
        </w:tc>
        <w:tc>
          <w:tcPr>
            <w:tcW w:w="537" w:type="pct"/>
            <w:shd w:val="clear" w:color="000000" w:fill="FFFFFF"/>
            <w:vAlign w:val="center"/>
          </w:tcPr>
          <w:p w14:paraId="552D13C9">
            <w:pPr>
              <w:widowControl/>
              <w:spacing w:line="0" w:lineRule="atLeast"/>
              <w:jc w:val="center"/>
              <w:rPr>
                <w:rFonts w:hint="eastAsia" w:eastAsia="宋体"/>
                <w:b/>
                <w:bCs/>
                <w:color w:val="000000"/>
                <w:kern w:val="0"/>
                <w:sz w:val="22"/>
                <w:szCs w:val="22"/>
                <w:lang w:val="en-US" w:eastAsia="zh-CN"/>
              </w:rPr>
            </w:pPr>
            <w:r>
              <w:rPr>
                <w:rFonts w:hint="eastAsia"/>
                <w:b/>
                <w:bCs/>
                <w:color w:val="000000"/>
                <w:kern w:val="0"/>
                <w:sz w:val="22"/>
                <w:szCs w:val="22"/>
                <w:lang w:val="en-US" w:eastAsia="zh-CN"/>
              </w:rPr>
              <w:t>3</w:t>
            </w:r>
          </w:p>
        </w:tc>
      </w:tr>
      <w:tr w14:paraId="512715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28" w:type="pct"/>
            <w:vMerge w:val="continue"/>
            <w:shd w:val="clear" w:color="auto" w:fill="FFFFFF"/>
            <w:vAlign w:val="center"/>
          </w:tcPr>
          <w:p w14:paraId="37A89B7F">
            <w:pPr>
              <w:spacing w:line="0" w:lineRule="atLeast"/>
              <w:jc w:val="center"/>
              <w:rPr>
                <w:color w:val="000000"/>
                <w:kern w:val="0"/>
                <w:sz w:val="22"/>
                <w:szCs w:val="22"/>
              </w:rPr>
            </w:pPr>
          </w:p>
        </w:tc>
        <w:tc>
          <w:tcPr>
            <w:tcW w:w="301" w:type="pct"/>
            <w:vMerge w:val="restart"/>
            <w:shd w:val="clear" w:color="auto" w:fill="FFFFFF"/>
            <w:vAlign w:val="center"/>
          </w:tcPr>
          <w:p w14:paraId="4FD86FE1">
            <w:pPr>
              <w:widowControl/>
              <w:spacing w:line="0" w:lineRule="atLeast"/>
              <w:jc w:val="center"/>
              <w:rPr>
                <w:color w:val="000000"/>
                <w:kern w:val="0"/>
                <w:sz w:val="22"/>
                <w:szCs w:val="22"/>
              </w:rPr>
            </w:pPr>
            <w:r>
              <w:rPr>
                <w:color w:val="000000"/>
                <w:kern w:val="0"/>
                <w:sz w:val="22"/>
                <w:szCs w:val="22"/>
              </w:rPr>
              <w:t>资金投入</w:t>
            </w:r>
          </w:p>
          <w:p w14:paraId="76415430">
            <w:pPr>
              <w:spacing w:line="0" w:lineRule="atLeast"/>
              <w:jc w:val="center"/>
              <w:rPr>
                <w:color w:val="000000"/>
                <w:kern w:val="0"/>
                <w:sz w:val="22"/>
                <w:szCs w:val="22"/>
              </w:rPr>
            </w:pPr>
            <w:r>
              <w:rPr>
                <w:color w:val="000000"/>
                <w:kern w:val="0"/>
                <w:sz w:val="22"/>
                <w:szCs w:val="22"/>
              </w:rPr>
              <w:t>　</w:t>
            </w:r>
          </w:p>
        </w:tc>
        <w:tc>
          <w:tcPr>
            <w:tcW w:w="344" w:type="pct"/>
            <w:shd w:val="clear" w:color="auto" w:fill="FFFFFF"/>
            <w:vAlign w:val="center"/>
          </w:tcPr>
          <w:p w14:paraId="13AB8763">
            <w:pPr>
              <w:widowControl/>
              <w:spacing w:line="0" w:lineRule="atLeast"/>
              <w:jc w:val="center"/>
              <w:rPr>
                <w:color w:val="000000"/>
                <w:kern w:val="0"/>
                <w:sz w:val="22"/>
                <w:szCs w:val="22"/>
              </w:rPr>
            </w:pPr>
            <w:r>
              <w:rPr>
                <w:color w:val="000000"/>
                <w:kern w:val="0"/>
                <w:sz w:val="22"/>
                <w:szCs w:val="22"/>
              </w:rPr>
              <w:t>预算编制</w:t>
            </w:r>
          </w:p>
          <w:p w14:paraId="24044413">
            <w:pPr>
              <w:widowControl/>
              <w:spacing w:line="0" w:lineRule="atLeast"/>
              <w:jc w:val="center"/>
              <w:rPr>
                <w:color w:val="000000"/>
                <w:kern w:val="0"/>
                <w:sz w:val="22"/>
                <w:szCs w:val="22"/>
              </w:rPr>
            </w:pPr>
            <w:r>
              <w:rPr>
                <w:color w:val="000000"/>
                <w:kern w:val="0"/>
                <w:sz w:val="22"/>
                <w:szCs w:val="22"/>
              </w:rPr>
              <w:t>科学性</w:t>
            </w:r>
          </w:p>
        </w:tc>
        <w:tc>
          <w:tcPr>
            <w:tcW w:w="927" w:type="pct"/>
            <w:shd w:val="clear" w:color="auto" w:fill="FFFFFF"/>
            <w:vAlign w:val="center"/>
          </w:tcPr>
          <w:p w14:paraId="36EC5409">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2048" w:type="pct"/>
            <w:shd w:val="clear" w:color="auto" w:fill="FFFFFF"/>
            <w:vAlign w:val="center"/>
          </w:tcPr>
          <w:p w14:paraId="7772B6E3">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512" w:type="pct"/>
            <w:shd w:val="clear" w:color="auto" w:fill="FFFFFF"/>
            <w:vAlign w:val="center"/>
          </w:tcPr>
          <w:p w14:paraId="5090F936">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auto" w:fill="FFFFFF"/>
            <w:vAlign w:val="center"/>
          </w:tcPr>
          <w:p w14:paraId="3729121C">
            <w:pPr>
              <w:widowControl/>
              <w:spacing w:line="0" w:lineRule="atLeast"/>
              <w:jc w:val="center"/>
              <w:rPr>
                <w:rFonts w:hint="eastAsia" w:eastAsia="宋体"/>
                <w:b/>
                <w:bCs/>
                <w:color w:val="000000"/>
                <w:kern w:val="0"/>
                <w:sz w:val="22"/>
                <w:szCs w:val="22"/>
                <w:lang w:val="en-US" w:eastAsia="zh-CN"/>
              </w:rPr>
            </w:pPr>
            <w:r>
              <w:rPr>
                <w:rFonts w:hint="eastAsia"/>
                <w:b/>
                <w:bCs/>
                <w:color w:val="000000"/>
                <w:kern w:val="0"/>
                <w:sz w:val="22"/>
                <w:szCs w:val="22"/>
                <w:lang w:val="en-US" w:eastAsia="zh-CN"/>
              </w:rPr>
              <w:t>4</w:t>
            </w:r>
          </w:p>
        </w:tc>
      </w:tr>
      <w:tr w14:paraId="74785C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28" w:type="pct"/>
            <w:vMerge w:val="continue"/>
            <w:shd w:val="clear" w:color="auto" w:fill="FFFFFF"/>
            <w:vAlign w:val="center"/>
          </w:tcPr>
          <w:p w14:paraId="54077431">
            <w:pPr>
              <w:widowControl/>
              <w:spacing w:line="0" w:lineRule="atLeast"/>
              <w:jc w:val="center"/>
              <w:rPr>
                <w:color w:val="000000"/>
                <w:kern w:val="0"/>
                <w:sz w:val="22"/>
                <w:szCs w:val="22"/>
              </w:rPr>
            </w:pPr>
          </w:p>
        </w:tc>
        <w:tc>
          <w:tcPr>
            <w:tcW w:w="301" w:type="pct"/>
            <w:vMerge w:val="continue"/>
            <w:shd w:val="clear" w:color="auto" w:fill="FFFFFF"/>
            <w:vAlign w:val="center"/>
          </w:tcPr>
          <w:p w14:paraId="61CC0012">
            <w:pPr>
              <w:widowControl/>
              <w:spacing w:line="0" w:lineRule="atLeast"/>
              <w:jc w:val="center"/>
              <w:rPr>
                <w:color w:val="000000"/>
                <w:kern w:val="0"/>
                <w:sz w:val="22"/>
                <w:szCs w:val="22"/>
              </w:rPr>
            </w:pPr>
          </w:p>
        </w:tc>
        <w:tc>
          <w:tcPr>
            <w:tcW w:w="344" w:type="pct"/>
            <w:shd w:val="clear" w:color="auto" w:fill="FFFFFF"/>
            <w:vAlign w:val="center"/>
          </w:tcPr>
          <w:p w14:paraId="5D74ABDE">
            <w:pPr>
              <w:widowControl/>
              <w:spacing w:line="0" w:lineRule="atLeast"/>
              <w:jc w:val="center"/>
              <w:rPr>
                <w:color w:val="000000"/>
                <w:kern w:val="0"/>
                <w:sz w:val="22"/>
                <w:szCs w:val="22"/>
              </w:rPr>
            </w:pPr>
            <w:r>
              <w:rPr>
                <w:color w:val="000000"/>
                <w:kern w:val="0"/>
                <w:sz w:val="22"/>
                <w:szCs w:val="22"/>
              </w:rPr>
              <w:t>资金分配</w:t>
            </w:r>
          </w:p>
          <w:p w14:paraId="5F752FF2">
            <w:pPr>
              <w:widowControl/>
              <w:spacing w:line="0" w:lineRule="atLeast"/>
              <w:jc w:val="center"/>
              <w:rPr>
                <w:color w:val="000000"/>
                <w:kern w:val="0"/>
                <w:sz w:val="22"/>
                <w:szCs w:val="22"/>
              </w:rPr>
            </w:pPr>
            <w:r>
              <w:rPr>
                <w:color w:val="000000"/>
                <w:kern w:val="0"/>
                <w:sz w:val="22"/>
                <w:szCs w:val="22"/>
              </w:rPr>
              <w:t>合理性</w:t>
            </w:r>
          </w:p>
        </w:tc>
        <w:tc>
          <w:tcPr>
            <w:tcW w:w="927" w:type="pct"/>
            <w:shd w:val="clear" w:color="auto" w:fill="FFFFFF"/>
            <w:vAlign w:val="center"/>
          </w:tcPr>
          <w:p w14:paraId="4ECE7D32">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2048" w:type="pct"/>
            <w:shd w:val="clear" w:color="auto" w:fill="FFFFFF"/>
            <w:vAlign w:val="center"/>
          </w:tcPr>
          <w:p w14:paraId="0BBB5299">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512" w:type="pct"/>
            <w:shd w:val="clear" w:color="auto" w:fill="FFFFFF"/>
            <w:vAlign w:val="center"/>
          </w:tcPr>
          <w:p w14:paraId="7261EB66">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auto" w:fill="FFFFFF"/>
            <w:vAlign w:val="center"/>
          </w:tcPr>
          <w:p w14:paraId="28D6D385">
            <w:pPr>
              <w:widowControl/>
              <w:spacing w:line="0" w:lineRule="atLeast"/>
              <w:jc w:val="center"/>
              <w:rPr>
                <w:rFonts w:hint="eastAsia" w:eastAsia="宋体"/>
                <w:b/>
                <w:bCs/>
                <w:color w:val="000000"/>
                <w:kern w:val="0"/>
                <w:sz w:val="22"/>
                <w:szCs w:val="22"/>
                <w:lang w:val="en-US" w:eastAsia="zh-CN"/>
              </w:rPr>
            </w:pPr>
            <w:r>
              <w:rPr>
                <w:rFonts w:hint="eastAsia"/>
                <w:b/>
                <w:bCs/>
                <w:color w:val="000000"/>
                <w:kern w:val="0"/>
                <w:sz w:val="22"/>
                <w:szCs w:val="22"/>
                <w:lang w:val="en-US" w:eastAsia="zh-CN"/>
              </w:rPr>
              <w:t>4</w:t>
            </w:r>
          </w:p>
        </w:tc>
      </w:tr>
      <w:tr w14:paraId="4F4F77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28" w:type="pct"/>
            <w:vMerge w:val="restart"/>
            <w:shd w:val="clear" w:color="auto" w:fill="FFFFFF"/>
            <w:vAlign w:val="center"/>
          </w:tcPr>
          <w:p w14:paraId="249D452D">
            <w:pPr>
              <w:spacing w:line="0" w:lineRule="atLeast"/>
              <w:jc w:val="center"/>
              <w:rPr>
                <w:color w:val="000000"/>
                <w:kern w:val="0"/>
                <w:sz w:val="22"/>
                <w:szCs w:val="22"/>
              </w:rPr>
            </w:pPr>
          </w:p>
          <w:p w14:paraId="6376E088">
            <w:pPr>
              <w:spacing w:line="0" w:lineRule="atLeast"/>
              <w:jc w:val="center"/>
              <w:rPr>
                <w:color w:val="000000"/>
                <w:kern w:val="0"/>
                <w:sz w:val="22"/>
                <w:szCs w:val="22"/>
              </w:rPr>
            </w:pPr>
          </w:p>
          <w:p w14:paraId="3C952D2F">
            <w:pPr>
              <w:spacing w:line="0" w:lineRule="atLeast"/>
              <w:jc w:val="center"/>
              <w:rPr>
                <w:color w:val="000000"/>
                <w:kern w:val="0"/>
                <w:sz w:val="22"/>
                <w:szCs w:val="22"/>
              </w:rPr>
            </w:pPr>
          </w:p>
          <w:p w14:paraId="79948D9E">
            <w:pPr>
              <w:spacing w:line="0" w:lineRule="atLeast"/>
              <w:jc w:val="center"/>
              <w:rPr>
                <w:color w:val="000000"/>
                <w:kern w:val="0"/>
                <w:sz w:val="22"/>
                <w:szCs w:val="22"/>
              </w:rPr>
            </w:pPr>
          </w:p>
          <w:p w14:paraId="3E167139">
            <w:pPr>
              <w:spacing w:line="0" w:lineRule="atLeast"/>
              <w:jc w:val="center"/>
              <w:rPr>
                <w:color w:val="000000"/>
                <w:kern w:val="0"/>
                <w:sz w:val="22"/>
                <w:szCs w:val="22"/>
              </w:rPr>
            </w:pPr>
          </w:p>
          <w:p w14:paraId="17E5EC5E">
            <w:pPr>
              <w:spacing w:line="0" w:lineRule="atLeast"/>
              <w:jc w:val="center"/>
              <w:rPr>
                <w:color w:val="000000"/>
                <w:kern w:val="0"/>
                <w:sz w:val="22"/>
                <w:szCs w:val="22"/>
              </w:rPr>
            </w:pPr>
          </w:p>
          <w:p w14:paraId="61DB7783">
            <w:pPr>
              <w:spacing w:line="0" w:lineRule="atLeast"/>
              <w:jc w:val="center"/>
              <w:rPr>
                <w:color w:val="000000"/>
                <w:kern w:val="0"/>
                <w:sz w:val="22"/>
                <w:szCs w:val="22"/>
              </w:rPr>
            </w:pPr>
          </w:p>
          <w:p w14:paraId="155E7C16">
            <w:pPr>
              <w:spacing w:line="0" w:lineRule="atLeast"/>
              <w:jc w:val="center"/>
              <w:rPr>
                <w:color w:val="000000"/>
                <w:kern w:val="0"/>
                <w:sz w:val="22"/>
                <w:szCs w:val="22"/>
              </w:rPr>
            </w:pPr>
          </w:p>
          <w:p w14:paraId="27651024">
            <w:pPr>
              <w:spacing w:line="0" w:lineRule="atLeast"/>
              <w:jc w:val="center"/>
              <w:rPr>
                <w:color w:val="000000"/>
                <w:kern w:val="0"/>
                <w:sz w:val="22"/>
                <w:szCs w:val="22"/>
              </w:rPr>
            </w:pPr>
          </w:p>
          <w:p w14:paraId="13284891">
            <w:pPr>
              <w:spacing w:line="0" w:lineRule="atLeast"/>
              <w:jc w:val="center"/>
              <w:rPr>
                <w:color w:val="000000"/>
                <w:kern w:val="0"/>
                <w:sz w:val="22"/>
                <w:szCs w:val="22"/>
              </w:rPr>
            </w:pPr>
          </w:p>
          <w:p w14:paraId="572A1C93">
            <w:pPr>
              <w:spacing w:line="0" w:lineRule="atLeast"/>
              <w:jc w:val="center"/>
              <w:rPr>
                <w:color w:val="000000"/>
                <w:kern w:val="0"/>
                <w:sz w:val="22"/>
                <w:szCs w:val="22"/>
              </w:rPr>
            </w:pPr>
          </w:p>
          <w:p w14:paraId="6E08FB0E">
            <w:pPr>
              <w:spacing w:line="0" w:lineRule="atLeast"/>
              <w:jc w:val="center"/>
              <w:rPr>
                <w:color w:val="000000"/>
                <w:kern w:val="0"/>
                <w:sz w:val="22"/>
                <w:szCs w:val="22"/>
              </w:rPr>
            </w:pPr>
          </w:p>
          <w:p w14:paraId="6ED13519">
            <w:pPr>
              <w:spacing w:line="0" w:lineRule="atLeast"/>
              <w:jc w:val="center"/>
              <w:rPr>
                <w:color w:val="000000"/>
                <w:kern w:val="0"/>
                <w:sz w:val="22"/>
                <w:szCs w:val="22"/>
              </w:rPr>
            </w:pPr>
          </w:p>
          <w:p w14:paraId="48D1542A">
            <w:pPr>
              <w:spacing w:line="0" w:lineRule="atLeast"/>
              <w:jc w:val="center"/>
              <w:rPr>
                <w:color w:val="000000"/>
                <w:kern w:val="0"/>
                <w:sz w:val="22"/>
                <w:szCs w:val="22"/>
              </w:rPr>
            </w:pPr>
          </w:p>
          <w:p w14:paraId="3C65E339">
            <w:pPr>
              <w:spacing w:line="0" w:lineRule="atLeast"/>
              <w:jc w:val="center"/>
              <w:rPr>
                <w:color w:val="000000"/>
                <w:kern w:val="0"/>
                <w:sz w:val="22"/>
                <w:szCs w:val="22"/>
              </w:rPr>
            </w:pPr>
          </w:p>
          <w:p w14:paraId="575EC2F7">
            <w:pPr>
              <w:spacing w:line="0" w:lineRule="atLeast"/>
              <w:jc w:val="center"/>
              <w:rPr>
                <w:color w:val="000000"/>
                <w:kern w:val="0"/>
                <w:sz w:val="22"/>
                <w:szCs w:val="22"/>
              </w:rPr>
            </w:pPr>
            <w:r>
              <w:rPr>
                <w:color w:val="000000"/>
                <w:kern w:val="0"/>
                <w:sz w:val="22"/>
                <w:szCs w:val="22"/>
              </w:rPr>
              <w:t>过程</w:t>
            </w:r>
          </w:p>
          <w:p w14:paraId="2F8AB0F7">
            <w:pPr>
              <w:widowControl/>
              <w:spacing w:line="0" w:lineRule="atLeast"/>
              <w:jc w:val="center"/>
              <w:rPr>
                <w:color w:val="000000"/>
                <w:kern w:val="0"/>
                <w:sz w:val="22"/>
                <w:szCs w:val="22"/>
              </w:rPr>
            </w:pPr>
            <w:r>
              <w:rPr>
                <w:color w:val="000000"/>
                <w:kern w:val="0"/>
                <w:sz w:val="22"/>
                <w:szCs w:val="22"/>
              </w:rPr>
              <w:t>　　</w:t>
            </w:r>
          </w:p>
        </w:tc>
        <w:tc>
          <w:tcPr>
            <w:tcW w:w="301" w:type="pct"/>
            <w:vMerge w:val="restart"/>
            <w:shd w:val="clear" w:color="auto" w:fill="FFFFFF"/>
            <w:vAlign w:val="center"/>
          </w:tcPr>
          <w:p w14:paraId="23264DA9">
            <w:pPr>
              <w:widowControl/>
              <w:spacing w:line="0" w:lineRule="atLeast"/>
              <w:jc w:val="center"/>
              <w:rPr>
                <w:color w:val="000000"/>
                <w:kern w:val="0"/>
                <w:sz w:val="22"/>
                <w:szCs w:val="22"/>
              </w:rPr>
            </w:pPr>
            <w:r>
              <w:rPr>
                <w:color w:val="000000"/>
                <w:kern w:val="0"/>
                <w:sz w:val="22"/>
                <w:szCs w:val="22"/>
              </w:rPr>
              <w:t>资金管理</w:t>
            </w:r>
          </w:p>
        </w:tc>
        <w:tc>
          <w:tcPr>
            <w:tcW w:w="344" w:type="pct"/>
            <w:shd w:val="clear" w:color="auto" w:fill="FFFFFF"/>
            <w:vAlign w:val="center"/>
          </w:tcPr>
          <w:p w14:paraId="29348AC8">
            <w:pPr>
              <w:widowControl/>
              <w:spacing w:line="0" w:lineRule="atLeast"/>
              <w:jc w:val="center"/>
              <w:rPr>
                <w:color w:val="000000"/>
                <w:kern w:val="0"/>
                <w:sz w:val="22"/>
                <w:szCs w:val="22"/>
              </w:rPr>
            </w:pPr>
            <w:r>
              <w:rPr>
                <w:color w:val="000000"/>
                <w:kern w:val="0"/>
                <w:sz w:val="22"/>
                <w:szCs w:val="22"/>
              </w:rPr>
              <w:t>资金到位率</w:t>
            </w:r>
          </w:p>
        </w:tc>
        <w:tc>
          <w:tcPr>
            <w:tcW w:w="927" w:type="pct"/>
            <w:shd w:val="clear" w:color="000000" w:fill="FFFFFF"/>
            <w:vAlign w:val="center"/>
          </w:tcPr>
          <w:p w14:paraId="6C92BD78">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2048" w:type="pct"/>
            <w:shd w:val="clear" w:color="000000" w:fill="FFFFFF"/>
            <w:vAlign w:val="center"/>
          </w:tcPr>
          <w:p w14:paraId="3C5ACDD3">
            <w:pPr>
              <w:widowControl/>
              <w:spacing w:line="0" w:lineRule="atLeast"/>
              <w:rPr>
                <w:color w:val="000000"/>
                <w:kern w:val="0"/>
                <w:sz w:val="22"/>
                <w:szCs w:val="22"/>
              </w:rPr>
            </w:pPr>
            <w:r>
              <w:rPr>
                <w:color w:val="000000"/>
                <w:kern w:val="0"/>
                <w:sz w:val="22"/>
                <w:szCs w:val="22"/>
              </w:rPr>
              <w:t>资金到位率=（实际到位资金/预算资金）×100%。</w:t>
            </w:r>
          </w:p>
          <w:p w14:paraId="5E8E12E0">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14:paraId="4B933913">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12" w:type="pct"/>
            <w:shd w:val="clear" w:color="000000" w:fill="FFFFFF"/>
            <w:vAlign w:val="center"/>
          </w:tcPr>
          <w:p w14:paraId="719F386D">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000000" w:fill="FFFFFF"/>
            <w:vAlign w:val="center"/>
          </w:tcPr>
          <w:p w14:paraId="79F38FAC">
            <w:pPr>
              <w:widowControl/>
              <w:spacing w:line="0" w:lineRule="atLeast"/>
              <w:jc w:val="center"/>
              <w:rPr>
                <w:rFonts w:hint="eastAsia" w:eastAsia="宋体"/>
                <w:b/>
                <w:bCs/>
                <w:color w:val="000000"/>
                <w:kern w:val="0"/>
                <w:sz w:val="22"/>
                <w:szCs w:val="22"/>
                <w:lang w:val="en-US" w:eastAsia="zh-CN"/>
              </w:rPr>
            </w:pPr>
            <w:r>
              <w:rPr>
                <w:rFonts w:hint="eastAsia"/>
                <w:b/>
                <w:bCs/>
                <w:color w:val="000000"/>
                <w:kern w:val="0"/>
                <w:sz w:val="22"/>
                <w:szCs w:val="22"/>
                <w:lang w:val="en-US" w:eastAsia="zh-CN"/>
              </w:rPr>
              <w:t>4</w:t>
            </w:r>
          </w:p>
        </w:tc>
      </w:tr>
      <w:tr w14:paraId="19A2C9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28" w:type="pct"/>
            <w:vMerge w:val="continue"/>
            <w:shd w:val="clear" w:color="auto" w:fill="FFFFFF"/>
            <w:vAlign w:val="center"/>
          </w:tcPr>
          <w:p w14:paraId="1E46C2E7">
            <w:pPr>
              <w:spacing w:line="0" w:lineRule="atLeast"/>
              <w:jc w:val="center"/>
              <w:rPr>
                <w:color w:val="000000"/>
                <w:kern w:val="0"/>
                <w:sz w:val="22"/>
                <w:szCs w:val="22"/>
              </w:rPr>
            </w:pPr>
          </w:p>
        </w:tc>
        <w:tc>
          <w:tcPr>
            <w:tcW w:w="301" w:type="pct"/>
            <w:vMerge w:val="continue"/>
            <w:shd w:val="clear" w:color="auto" w:fill="FFFFFF"/>
            <w:vAlign w:val="center"/>
          </w:tcPr>
          <w:p w14:paraId="59D23B2E">
            <w:pPr>
              <w:spacing w:line="0" w:lineRule="atLeast"/>
              <w:jc w:val="center"/>
              <w:rPr>
                <w:color w:val="000000"/>
                <w:kern w:val="0"/>
                <w:sz w:val="22"/>
                <w:szCs w:val="22"/>
              </w:rPr>
            </w:pPr>
          </w:p>
        </w:tc>
        <w:tc>
          <w:tcPr>
            <w:tcW w:w="344" w:type="pct"/>
            <w:shd w:val="clear" w:color="auto" w:fill="FFFFFF"/>
            <w:vAlign w:val="center"/>
          </w:tcPr>
          <w:p w14:paraId="6CBBE8D3">
            <w:pPr>
              <w:widowControl/>
              <w:spacing w:line="0" w:lineRule="atLeast"/>
              <w:jc w:val="center"/>
              <w:rPr>
                <w:color w:val="000000"/>
                <w:kern w:val="0"/>
                <w:sz w:val="22"/>
                <w:szCs w:val="22"/>
              </w:rPr>
            </w:pPr>
            <w:r>
              <w:rPr>
                <w:color w:val="000000"/>
                <w:kern w:val="0"/>
                <w:sz w:val="22"/>
                <w:szCs w:val="22"/>
              </w:rPr>
              <w:t>预算执行率</w:t>
            </w:r>
          </w:p>
        </w:tc>
        <w:tc>
          <w:tcPr>
            <w:tcW w:w="927" w:type="pct"/>
            <w:shd w:val="clear" w:color="auto" w:fill="FFFFFF"/>
            <w:vAlign w:val="center"/>
          </w:tcPr>
          <w:p w14:paraId="6A281753">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2048" w:type="pct"/>
            <w:shd w:val="clear" w:color="auto" w:fill="FFFFFF"/>
            <w:vAlign w:val="center"/>
          </w:tcPr>
          <w:p w14:paraId="704A9F71">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512" w:type="pct"/>
            <w:shd w:val="clear" w:color="auto" w:fill="FFFFFF"/>
            <w:vAlign w:val="center"/>
          </w:tcPr>
          <w:p w14:paraId="469D006F">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auto" w:fill="FFFFFF"/>
            <w:vAlign w:val="center"/>
          </w:tcPr>
          <w:p w14:paraId="52A0F1A3">
            <w:pPr>
              <w:widowControl/>
              <w:spacing w:line="0" w:lineRule="atLeast"/>
              <w:jc w:val="center"/>
              <w:rPr>
                <w:rFonts w:hint="eastAsia" w:eastAsia="宋体"/>
                <w:b/>
                <w:bCs/>
                <w:color w:val="000000"/>
                <w:kern w:val="0"/>
                <w:sz w:val="22"/>
                <w:szCs w:val="22"/>
                <w:lang w:val="en-US" w:eastAsia="zh-CN"/>
              </w:rPr>
            </w:pPr>
            <w:r>
              <w:rPr>
                <w:rFonts w:hint="eastAsia"/>
                <w:b/>
                <w:bCs/>
                <w:color w:val="000000"/>
                <w:kern w:val="0"/>
                <w:sz w:val="22"/>
                <w:szCs w:val="22"/>
                <w:lang w:val="en-US" w:eastAsia="zh-CN"/>
              </w:rPr>
              <w:t>4</w:t>
            </w:r>
          </w:p>
        </w:tc>
      </w:tr>
      <w:tr w14:paraId="6402D3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28" w:type="pct"/>
            <w:vMerge w:val="continue"/>
            <w:shd w:val="clear" w:color="auto" w:fill="FFFFFF"/>
            <w:vAlign w:val="center"/>
          </w:tcPr>
          <w:p w14:paraId="0B6B13C7">
            <w:pPr>
              <w:spacing w:line="0" w:lineRule="atLeast"/>
              <w:jc w:val="center"/>
              <w:rPr>
                <w:color w:val="000000"/>
                <w:kern w:val="0"/>
                <w:sz w:val="22"/>
                <w:szCs w:val="22"/>
              </w:rPr>
            </w:pPr>
          </w:p>
        </w:tc>
        <w:tc>
          <w:tcPr>
            <w:tcW w:w="301" w:type="pct"/>
            <w:shd w:val="clear" w:color="auto" w:fill="FFFFFF"/>
            <w:vAlign w:val="center"/>
          </w:tcPr>
          <w:p w14:paraId="4A072861">
            <w:pPr>
              <w:widowControl/>
              <w:spacing w:line="0" w:lineRule="atLeast"/>
              <w:jc w:val="center"/>
              <w:rPr>
                <w:color w:val="000000"/>
                <w:kern w:val="0"/>
                <w:sz w:val="22"/>
                <w:szCs w:val="22"/>
              </w:rPr>
            </w:pPr>
            <w:r>
              <w:rPr>
                <w:color w:val="000000"/>
                <w:kern w:val="0"/>
                <w:sz w:val="22"/>
                <w:szCs w:val="22"/>
              </w:rPr>
              <w:t>资金管理</w:t>
            </w:r>
          </w:p>
        </w:tc>
        <w:tc>
          <w:tcPr>
            <w:tcW w:w="344" w:type="pct"/>
            <w:shd w:val="clear" w:color="auto" w:fill="FFFFFF"/>
            <w:vAlign w:val="center"/>
          </w:tcPr>
          <w:p w14:paraId="11399CEF">
            <w:pPr>
              <w:widowControl/>
              <w:spacing w:line="0" w:lineRule="atLeast"/>
              <w:jc w:val="center"/>
              <w:rPr>
                <w:color w:val="000000"/>
                <w:kern w:val="0"/>
                <w:sz w:val="22"/>
                <w:szCs w:val="22"/>
              </w:rPr>
            </w:pPr>
            <w:r>
              <w:rPr>
                <w:color w:val="000000"/>
                <w:kern w:val="0"/>
                <w:sz w:val="22"/>
                <w:szCs w:val="22"/>
              </w:rPr>
              <w:t>资金使用</w:t>
            </w:r>
          </w:p>
          <w:p w14:paraId="40836ABB">
            <w:pPr>
              <w:widowControl/>
              <w:spacing w:line="0" w:lineRule="atLeast"/>
              <w:jc w:val="center"/>
              <w:rPr>
                <w:color w:val="000000"/>
                <w:kern w:val="0"/>
                <w:sz w:val="22"/>
                <w:szCs w:val="22"/>
              </w:rPr>
            </w:pPr>
            <w:r>
              <w:rPr>
                <w:color w:val="000000"/>
                <w:kern w:val="0"/>
                <w:sz w:val="22"/>
                <w:szCs w:val="22"/>
              </w:rPr>
              <w:t>合规性</w:t>
            </w:r>
          </w:p>
        </w:tc>
        <w:tc>
          <w:tcPr>
            <w:tcW w:w="927" w:type="pct"/>
            <w:shd w:val="clear" w:color="000000" w:fill="FFFFFF"/>
            <w:vAlign w:val="center"/>
          </w:tcPr>
          <w:p w14:paraId="61FCDDC5">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2048" w:type="pct"/>
            <w:shd w:val="clear" w:color="000000" w:fill="FFFFFF"/>
            <w:vAlign w:val="center"/>
          </w:tcPr>
          <w:p w14:paraId="1F02AC10">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512" w:type="pct"/>
            <w:shd w:val="clear" w:color="000000" w:fill="FFFFFF"/>
            <w:vAlign w:val="center"/>
          </w:tcPr>
          <w:p w14:paraId="13D7C7A5">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000000" w:fill="FFFFFF"/>
            <w:vAlign w:val="center"/>
          </w:tcPr>
          <w:p w14:paraId="6C72D1DE">
            <w:pPr>
              <w:widowControl/>
              <w:spacing w:line="0" w:lineRule="atLeast"/>
              <w:jc w:val="center"/>
              <w:rPr>
                <w:rFonts w:hint="eastAsia" w:eastAsia="宋体"/>
                <w:b/>
                <w:bCs/>
                <w:color w:val="000000"/>
                <w:kern w:val="0"/>
                <w:sz w:val="22"/>
                <w:szCs w:val="22"/>
                <w:lang w:val="en-US" w:eastAsia="zh-CN"/>
              </w:rPr>
            </w:pPr>
            <w:r>
              <w:rPr>
                <w:rFonts w:hint="eastAsia"/>
                <w:b/>
                <w:bCs/>
                <w:color w:val="000000"/>
                <w:kern w:val="0"/>
                <w:sz w:val="22"/>
                <w:szCs w:val="22"/>
                <w:lang w:val="en-US" w:eastAsia="zh-CN"/>
              </w:rPr>
              <w:t>4</w:t>
            </w:r>
          </w:p>
        </w:tc>
      </w:tr>
      <w:tr w14:paraId="7F6615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28" w:type="pct"/>
            <w:vMerge w:val="continue"/>
            <w:shd w:val="clear" w:color="auto" w:fill="FFFFFF"/>
            <w:vAlign w:val="center"/>
          </w:tcPr>
          <w:p w14:paraId="25867CB7">
            <w:pPr>
              <w:spacing w:line="0" w:lineRule="atLeast"/>
              <w:jc w:val="center"/>
              <w:rPr>
                <w:color w:val="000000"/>
                <w:kern w:val="0"/>
                <w:sz w:val="22"/>
                <w:szCs w:val="22"/>
              </w:rPr>
            </w:pPr>
          </w:p>
        </w:tc>
        <w:tc>
          <w:tcPr>
            <w:tcW w:w="301" w:type="pct"/>
            <w:vMerge w:val="restart"/>
            <w:shd w:val="clear" w:color="auto" w:fill="FFFFFF"/>
            <w:vAlign w:val="center"/>
          </w:tcPr>
          <w:p w14:paraId="3D7257B5">
            <w:pPr>
              <w:widowControl/>
              <w:spacing w:line="0" w:lineRule="atLeast"/>
              <w:jc w:val="center"/>
              <w:rPr>
                <w:color w:val="000000"/>
                <w:kern w:val="0"/>
                <w:sz w:val="22"/>
                <w:szCs w:val="22"/>
              </w:rPr>
            </w:pPr>
            <w:r>
              <w:rPr>
                <w:color w:val="000000"/>
                <w:kern w:val="0"/>
                <w:sz w:val="22"/>
                <w:szCs w:val="22"/>
              </w:rPr>
              <w:t>组织实施</w:t>
            </w:r>
          </w:p>
          <w:p w14:paraId="44F20CB9">
            <w:pPr>
              <w:spacing w:line="0" w:lineRule="atLeast"/>
              <w:jc w:val="center"/>
              <w:rPr>
                <w:color w:val="000000"/>
                <w:kern w:val="0"/>
                <w:sz w:val="22"/>
                <w:szCs w:val="22"/>
              </w:rPr>
            </w:pPr>
            <w:r>
              <w:rPr>
                <w:color w:val="000000"/>
                <w:kern w:val="0"/>
                <w:sz w:val="22"/>
                <w:szCs w:val="22"/>
              </w:rPr>
              <w:t>　</w:t>
            </w:r>
          </w:p>
        </w:tc>
        <w:tc>
          <w:tcPr>
            <w:tcW w:w="344" w:type="pct"/>
            <w:shd w:val="clear" w:color="auto" w:fill="FFFFFF"/>
            <w:vAlign w:val="center"/>
          </w:tcPr>
          <w:p w14:paraId="0A7A6CB2">
            <w:pPr>
              <w:widowControl/>
              <w:spacing w:line="0" w:lineRule="atLeast"/>
              <w:jc w:val="center"/>
              <w:rPr>
                <w:color w:val="000000"/>
                <w:kern w:val="0"/>
                <w:sz w:val="22"/>
                <w:szCs w:val="22"/>
              </w:rPr>
            </w:pPr>
            <w:r>
              <w:rPr>
                <w:color w:val="000000"/>
                <w:kern w:val="0"/>
                <w:sz w:val="22"/>
                <w:szCs w:val="22"/>
              </w:rPr>
              <w:t>管理制度</w:t>
            </w:r>
          </w:p>
          <w:p w14:paraId="01C4DC39">
            <w:pPr>
              <w:widowControl/>
              <w:spacing w:line="0" w:lineRule="atLeast"/>
              <w:jc w:val="center"/>
              <w:rPr>
                <w:color w:val="000000"/>
                <w:kern w:val="0"/>
                <w:sz w:val="22"/>
                <w:szCs w:val="22"/>
              </w:rPr>
            </w:pPr>
            <w:r>
              <w:rPr>
                <w:color w:val="000000"/>
                <w:kern w:val="0"/>
                <w:sz w:val="22"/>
                <w:szCs w:val="22"/>
              </w:rPr>
              <w:t>健全性</w:t>
            </w:r>
          </w:p>
        </w:tc>
        <w:tc>
          <w:tcPr>
            <w:tcW w:w="927" w:type="pct"/>
            <w:shd w:val="clear" w:color="000000" w:fill="FFFFFF"/>
            <w:vAlign w:val="center"/>
          </w:tcPr>
          <w:p w14:paraId="5F6105D2">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2048" w:type="pct"/>
            <w:shd w:val="clear" w:color="000000" w:fill="FFFFFF"/>
            <w:vAlign w:val="center"/>
          </w:tcPr>
          <w:p w14:paraId="12F2C497">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512" w:type="pct"/>
            <w:shd w:val="clear" w:color="000000" w:fill="FFFFFF"/>
            <w:vAlign w:val="center"/>
          </w:tcPr>
          <w:p w14:paraId="76981A9F">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000000" w:fill="FFFFFF"/>
            <w:vAlign w:val="center"/>
          </w:tcPr>
          <w:p w14:paraId="2D285EA0">
            <w:pPr>
              <w:widowControl/>
              <w:spacing w:line="0" w:lineRule="atLeast"/>
              <w:jc w:val="center"/>
              <w:rPr>
                <w:rFonts w:hint="eastAsia" w:eastAsia="宋体"/>
                <w:b/>
                <w:bCs/>
                <w:color w:val="000000"/>
                <w:kern w:val="0"/>
                <w:sz w:val="22"/>
                <w:szCs w:val="22"/>
                <w:lang w:val="en-US" w:eastAsia="zh-CN"/>
              </w:rPr>
            </w:pPr>
            <w:r>
              <w:rPr>
                <w:rFonts w:hint="eastAsia"/>
                <w:b/>
                <w:bCs/>
                <w:color w:val="000000"/>
                <w:kern w:val="0"/>
                <w:sz w:val="22"/>
                <w:szCs w:val="22"/>
                <w:lang w:val="en-US" w:eastAsia="zh-CN"/>
              </w:rPr>
              <w:t>4</w:t>
            </w:r>
          </w:p>
        </w:tc>
      </w:tr>
      <w:tr w14:paraId="2B3A2A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28" w:type="pct"/>
            <w:vMerge w:val="continue"/>
            <w:shd w:val="clear" w:color="auto" w:fill="FFFFFF"/>
            <w:vAlign w:val="center"/>
          </w:tcPr>
          <w:p w14:paraId="59DC65F2">
            <w:pPr>
              <w:widowControl/>
              <w:spacing w:line="0" w:lineRule="atLeast"/>
              <w:jc w:val="center"/>
              <w:rPr>
                <w:color w:val="000000"/>
                <w:kern w:val="0"/>
                <w:sz w:val="22"/>
                <w:szCs w:val="22"/>
              </w:rPr>
            </w:pPr>
          </w:p>
        </w:tc>
        <w:tc>
          <w:tcPr>
            <w:tcW w:w="301" w:type="pct"/>
            <w:vMerge w:val="continue"/>
            <w:shd w:val="clear" w:color="auto" w:fill="FFFFFF"/>
            <w:vAlign w:val="center"/>
          </w:tcPr>
          <w:p w14:paraId="54BB7357">
            <w:pPr>
              <w:widowControl/>
              <w:spacing w:line="0" w:lineRule="atLeast"/>
              <w:jc w:val="center"/>
              <w:rPr>
                <w:color w:val="000000"/>
                <w:kern w:val="0"/>
                <w:sz w:val="22"/>
                <w:szCs w:val="22"/>
              </w:rPr>
            </w:pPr>
          </w:p>
        </w:tc>
        <w:tc>
          <w:tcPr>
            <w:tcW w:w="344" w:type="pct"/>
            <w:shd w:val="clear" w:color="auto" w:fill="FFFFFF"/>
            <w:vAlign w:val="center"/>
          </w:tcPr>
          <w:p w14:paraId="7841B5C6">
            <w:pPr>
              <w:widowControl/>
              <w:spacing w:line="0" w:lineRule="atLeast"/>
              <w:jc w:val="center"/>
              <w:rPr>
                <w:color w:val="000000"/>
                <w:kern w:val="0"/>
                <w:sz w:val="22"/>
                <w:szCs w:val="22"/>
              </w:rPr>
            </w:pPr>
            <w:r>
              <w:rPr>
                <w:color w:val="000000"/>
                <w:kern w:val="0"/>
                <w:sz w:val="22"/>
                <w:szCs w:val="22"/>
              </w:rPr>
              <w:t>制度执行</w:t>
            </w:r>
          </w:p>
          <w:p w14:paraId="5086270C">
            <w:pPr>
              <w:widowControl/>
              <w:spacing w:line="0" w:lineRule="atLeast"/>
              <w:jc w:val="center"/>
              <w:rPr>
                <w:color w:val="000000"/>
                <w:kern w:val="0"/>
                <w:sz w:val="22"/>
                <w:szCs w:val="22"/>
              </w:rPr>
            </w:pPr>
            <w:r>
              <w:rPr>
                <w:color w:val="000000"/>
                <w:kern w:val="0"/>
                <w:sz w:val="22"/>
                <w:szCs w:val="22"/>
              </w:rPr>
              <w:t>有效性</w:t>
            </w:r>
          </w:p>
        </w:tc>
        <w:tc>
          <w:tcPr>
            <w:tcW w:w="927" w:type="pct"/>
            <w:shd w:val="clear" w:color="000000" w:fill="FFFFFF"/>
            <w:vAlign w:val="center"/>
          </w:tcPr>
          <w:p w14:paraId="7660C59B">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2048" w:type="pct"/>
            <w:shd w:val="clear" w:color="000000" w:fill="FFFFFF"/>
            <w:vAlign w:val="center"/>
          </w:tcPr>
          <w:p w14:paraId="0B1856AA">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512" w:type="pct"/>
            <w:shd w:val="clear" w:color="000000" w:fill="FFFFFF"/>
            <w:vAlign w:val="center"/>
          </w:tcPr>
          <w:p w14:paraId="0C4906AD">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000000" w:fill="FFFFFF"/>
            <w:vAlign w:val="center"/>
          </w:tcPr>
          <w:p w14:paraId="302F4F89">
            <w:pPr>
              <w:widowControl/>
              <w:spacing w:line="0" w:lineRule="atLeast"/>
              <w:jc w:val="center"/>
              <w:rPr>
                <w:rFonts w:hint="eastAsia" w:eastAsia="宋体"/>
                <w:b/>
                <w:bCs/>
                <w:color w:val="000000"/>
                <w:kern w:val="0"/>
                <w:sz w:val="22"/>
                <w:szCs w:val="22"/>
                <w:lang w:val="en-US" w:eastAsia="zh-CN"/>
              </w:rPr>
            </w:pPr>
            <w:r>
              <w:rPr>
                <w:rFonts w:hint="eastAsia"/>
                <w:b/>
                <w:bCs/>
                <w:color w:val="000000"/>
                <w:kern w:val="0"/>
                <w:sz w:val="22"/>
                <w:szCs w:val="22"/>
                <w:lang w:val="en-US" w:eastAsia="zh-CN"/>
              </w:rPr>
              <w:t>4</w:t>
            </w:r>
          </w:p>
        </w:tc>
      </w:tr>
      <w:tr w14:paraId="684784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28" w:type="pct"/>
            <w:vMerge w:val="restart"/>
            <w:shd w:val="clear" w:color="auto" w:fill="FFFFFF"/>
            <w:vAlign w:val="center"/>
          </w:tcPr>
          <w:p w14:paraId="121F0118">
            <w:pPr>
              <w:widowControl/>
              <w:spacing w:line="0" w:lineRule="atLeast"/>
              <w:jc w:val="center"/>
              <w:rPr>
                <w:color w:val="000000"/>
                <w:kern w:val="0"/>
                <w:sz w:val="22"/>
                <w:szCs w:val="22"/>
              </w:rPr>
            </w:pPr>
            <w:r>
              <w:rPr>
                <w:color w:val="000000"/>
                <w:kern w:val="0"/>
                <w:sz w:val="22"/>
                <w:szCs w:val="22"/>
              </w:rPr>
              <w:t>产出</w:t>
            </w:r>
          </w:p>
        </w:tc>
        <w:tc>
          <w:tcPr>
            <w:tcW w:w="301" w:type="pct"/>
            <w:shd w:val="clear" w:color="auto" w:fill="FFFFFF"/>
            <w:vAlign w:val="center"/>
          </w:tcPr>
          <w:p w14:paraId="21F507E3">
            <w:pPr>
              <w:widowControl/>
              <w:spacing w:line="0" w:lineRule="atLeast"/>
              <w:jc w:val="center"/>
              <w:rPr>
                <w:color w:val="000000"/>
                <w:kern w:val="0"/>
                <w:sz w:val="22"/>
                <w:szCs w:val="22"/>
              </w:rPr>
            </w:pPr>
            <w:r>
              <w:rPr>
                <w:color w:val="000000"/>
                <w:kern w:val="0"/>
                <w:sz w:val="22"/>
                <w:szCs w:val="22"/>
              </w:rPr>
              <w:t>产出数量</w:t>
            </w:r>
          </w:p>
        </w:tc>
        <w:tc>
          <w:tcPr>
            <w:tcW w:w="344" w:type="pct"/>
            <w:shd w:val="clear" w:color="auto" w:fill="FFFFFF"/>
            <w:vAlign w:val="center"/>
          </w:tcPr>
          <w:p w14:paraId="703D2034">
            <w:pPr>
              <w:widowControl/>
              <w:spacing w:line="0" w:lineRule="atLeast"/>
              <w:jc w:val="center"/>
              <w:rPr>
                <w:color w:val="000000"/>
                <w:kern w:val="0"/>
                <w:sz w:val="22"/>
                <w:szCs w:val="22"/>
              </w:rPr>
            </w:pPr>
            <w:r>
              <w:rPr>
                <w:color w:val="000000"/>
                <w:kern w:val="0"/>
                <w:sz w:val="22"/>
                <w:szCs w:val="22"/>
              </w:rPr>
              <w:t>实际完成率</w:t>
            </w:r>
          </w:p>
        </w:tc>
        <w:tc>
          <w:tcPr>
            <w:tcW w:w="927" w:type="pct"/>
            <w:shd w:val="clear" w:color="000000" w:fill="FFFFFF"/>
            <w:vAlign w:val="center"/>
          </w:tcPr>
          <w:p w14:paraId="1F980054">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2048" w:type="pct"/>
            <w:shd w:val="clear" w:color="000000" w:fill="FFFFFF"/>
            <w:vAlign w:val="center"/>
          </w:tcPr>
          <w:p w14:paraId="4CDC047F">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512" w:type="pct"/>
            <w:shd w:val="clear" w:color="000000" w:fill="FFFFFF"/>
            <w:vAlign w:val="center"/>
          </w:tcPr>
          <w:p w14:paraId="6C6B14C2">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14:paraId="620DF039">
            <w:pPr>
              <w:widowControl/>
              <w:spacing w:line="0" w:lineRule="atLeast"/>
              <w:jc w:val="center"/>
              <w:rPr>
                <w:rFonts w:hint="default" w:eastAsia="宋体"/>
                <w:b/>
                <w:bCs/>
                <w:color w:val="000000"/>
                <w:kern w:val="0"/>
                <w:sz w:val="22"/>
                <w:szCs w:val="22"/>
                <w:lang w:val="en-US" w:eastAsia="zh-CN"/>
              </w:rPr>
            </w:pPr>
            <w:r>
              <w:rPr>
                <w:rFonts w:hint="eastAsia"/>
                <w:b/>
                <w:bCs/>
                <w:color w:val="000000"/>
                <w:kern w:val="0"/>
                <w:sz w:val="22"/>
                <w:szCs w:val="22"/>
                <w:lang w:val="en-US" w:eastAsia="zh-CN"/>
              </w:rPr>
              <w:t>8</w:t>
            </w:r>
          </w:p>
        </w:tc>
      </w:tr>
      <w:tr w14:paraId="2EACA7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28" w:type="pct"/>
            <w:vMerge w:val="continue"/>
            <w:shd w:val="clear" w:color="auto" w:fill="FFFFFF"/>
            <w:vAlign w:val="center"/>
          </w:tcPr>
          <w:p w14:paraId="497BA8CF">
            <w:pPr>
              <w:widowControl/>
              <w:spacing w:line="0" w:lineRule="atLeast"/>
              <w:jc w:val="center"/>
              <w:rPr>
                <w:color w:val="000000"/>
                <w:kern w:val="0"/>
                <w:sz w:val="22"/>
                <w:szCs w:val="22"/>
              </w:rPr>
            </w:pPr>
          </w:p>
        </w:tc>
        <w:tc>
          <w:tcPr>
            <w:tcW w:w="301" w:type="pct"/>
            <w:shd w:val="clear" w:color="auto" w:fill="FFFFFF"/>
            <w:vAlign w:val="center"/>
          </w:tcPr>
          <w:p w14:paraId="521F7360">
            <w:pPr>
              <w:widowControl/>
              <w:spacing w:line="0" w:lineRule="atLeast"/>
              <w:jc w:val="center"/>
              <w:rPr>
                <w:color w:val="000000"/>
                <w:kern w:val="0"/>
                <w:sz w:val="22"/>
                <w:szCs w:val="22"/>
              </w:rPr>
            </w:pPr>
            <w:r>
              <w:rPr>
                <w:color w:val="000000"/>
                <w:kern w:val="0"/>
                <w:sz w:val="22"/>
                <w:szCs w:val="22"/>
              </w:rPr>
              <w:t>产出质量</w:t>
            </w:r>
          </w:p>
        </w:tc>
        <w:tc>
          <w:tcPr>
            <w:tcW w:w="344" w:type="pct"/>
            <w:shd w:val="clear" w:color="auto" w:fill="FFFFFF"/>
            <w:vAlign w:val="center"/>
          </w:tcPr>
          <w:p w14:paraId="5B107369">
            <w:pPr>
              <w:widowControl/>
              <w:spacing w:line="0" w:lineRule="atLeast"/>
              <w:jc w:val="center"/>
              <w:rPr>
                <w:color w:val="000000"/>
                <w:kern w:val="0"/>
                <w:sz w:val="22"/>
                <w:szCs w:val="22"/>
              </w:rPr>
            </w:pPr>
            <w:r>
              <w:rPr>
                <w:color w:val="000000"/>
                <w:kern w:val="0"/>
                <w:sz w:val="22"/>
                <w:szCs w:val="22"/>
              </w:rPr>
              <w:t>质量达标率</w:t>
            </w:r>
          </w:p>
        </w:tc>
        <w:tc>
          <w:tcPr>
            <w:tcW w:w="927" w:type="pct"/>
            <w:shd w:val="clear" w:color="000000" w:fill="FFFFFF"/>
            <w:vAlign w:val="center"/>
          </w:tcPr>
          <w:p w14:paraId="38F8CA4C">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2048" w:type="pct"/>
            <w:shd w:val="clear" w:color="000000" w:fill="FFFFFF"/>
            <w:vAlign w:val="center"/>
          </w:tcPr>
          <w:p w14:paraId="1C820A86">
            <w:pPr>
              <w:widowControl/>
              <w:spacing w:line="0" w:lineRule="atLeast"/>
              <w:rPr>
                <w:color w:val="000000"/>
                <w:kern w:val="0"/>
                <w:sz w:val="22"/>
                <w:szCs w:val="22"/>
              </w:rPr>
            </w:pPr>
            <w:r>
              <w:rPr>
                <w:color w:val="000000"/>
                <w:kern w:val="0"/>
                <w:sz w:val="22"/>
                <w:szCs w:val="22"/>
              </w:rPr>
              <w:t>质量达标率=（质量达标产出数/实际产出数）×100%。</w:t>
            </w:r>
          </w:p>
          <w:p w14:paraId="33F500F9">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2F3BBF74">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14:paraId="02A34F2C">
            <w:pPr>
              <w:widowControl/>
              <w:spacing w:line="0" w:lineRule="atLeast"/>
              <w:jc w:val="center"/>
              <w:rPr>
                <w:rFonts w:hint="default" w:eastAsia="宋体"/>
                <w:b/>
                <w:bCs/>
                <w:color w:val="000000"/>
                <w:kern w:val="0"/>
                <w:sz w:val="22"/>
                <w:szCs w:val="22"/>
                <w:lang w:val="en-US" w:eastAsia="zh-CN"/>
              </w:rPr>
            </w:pPr>
            <w:r>
              <w:rPr>
                <w:rFonts w:hint="eastAsia"/>
                <w:b/>
                <w:bCs/>
                <w:color w:val="000000"/>
                <w:kern w:val="0"/>
                <w:sz w:val="22"/>
                <w:szCs w:val="22"/>
                <w:lang w:val="en-US" w:eastAsia="zh-CN"/>
              </w:rPr>
              <w:t>10</w:t>
            </w:r>
          </w:p>
        </w:tc>
      </w:tr>
      <w:tr w14:paraId="4FB827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28" w:type="pct"/>
            <w:vMerge w:val="continue"/>
            <w:shd w:val="clear" w:color="auto" w:fill="FFFFFF"/>
            <w:vAlign w:val="center"/>
          </w:tcPr>
          <w:p w14:paraId="02B77D9B">
            <w:pPr>
              <w:spacing w:line="0" w:lineRule="atLeast"/>
              <w:jc w:val="center"/>
              <w:rPr>
                <w:color w:val="000000"/>
                <w:kern w:val="0"/>
                <w:sz w:val="22"/>
                <w:szCs w:val="22"/>
              </w:rPr>
            </w:pPr>
          </w:p>
        </w:tc>
        <w:tc>
          <w:tcPr>
            <w:tcW w:w="301" w:type="pct"/>
            <w:shd w:val="clear" w:color="auto" w:fill="FFFFFF"/>
            <w:vAlign w:val="center"/>
          </w:tcPr>
          <w:p w14:paraId="27B39B2E">
            <w:pPr>
              <w:spacing w:line="0" w:lineRule="atLeast"/>
              <w:jc w:val="center"/>
              <w:rPr>
                <w:color w:val="000000"/>
                <w:kern w:val="0"/>
                <w:sz w:val="22"/>
                <w:szCs w:val="22"/>
              </w:rPr>
            </w:pPr>
            <w:r>
              <w:rPr>
                <w:color w:val="000000"/>
                <w:kern w:val="0"/>
                <w:sz w:val="22"/>
                <w:szCs w:val="22"/>
              </w:rPr>
              <w:t>产出时效</w:t>
            </w:r>
          </w:p>
        </w:tc>
        <w:tc>
          <w:tcPr>
            <w:tcW w:w="344" w:type="pct"/>
            <w:shd w:val="clear" w:color="auto" w:fill="FFFFFF"/>
            <w:vAlign w:val="center"/>
          </w:tcPr>
          <w:p w14:paraId="2C915CA3">
            <w:pPr>
              <w:widowControl/>
              <w:spacing w:line="0" w:lineRule="atLeast"/>
              <w:jc w:val="center"/>
              <w:rPr>
                <w:color w:val="000000"/>
                <w:kern w:val="0"/>
                <w:sz w:val="22"/>
                <w:szCs w:val="22"/>
              </w:rPr>
            </w:pPr>
            <w:r>
              <w:rPr>
                <w:color w:val="000000"/>
                <w:kern w:val="0"/>
                <w:sz w:val="22"/>
                <w:szCs w:val="22"/>
              </w:rPr>
              <w:t>完成及时性</w:t>
            </w:r>
          </w:p>
        </w:tc>
        <w:tc>
          <w:tcPr>
            <w:tcW w:w="927" w:type="pct"/>
            <w:shd w:val="clear" w:color="000000" w:fill="FFFFFF"/>
            <w:vAlign w:val="center"/>
          </w:tcPr>
          <w:p w14:paraId="305FCA88">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2048" w:type="pct"/>
            <w:shd w:val="clear" w:color="000000" w:fill="FFFFFF"/>
            <w:vAlign w:val="center"/>
          </w:tcPr>
          <w:p w14:paraId="24088975">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512" w:type="pct"/>
            <w:shd w:val="clear" w:color="000000" w:fill="FFFFFF"/>
            <w:vAlign w:val="center"/>
          </w:tcPr>
          <w:p w14:paraId="4712E9E1">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14:paraId="2446A072">
            <w:pPr>
              <w:widowControl/>
              <w:spacing w:line="0" w:lineRule="atLeast"/>
              <w:jc w:val="center"/>
              <w:rPr>
                <w:rFonts w:hint="default" w:eastAsia="宋体"/>
                <w:b/>
                <w:bCs/>
                <w:color w:val="000000"/>
                <w:kern w:val="0"/>
                <w:sz w:val="22"/>
                <w:szCs w:val="22"/>
                <w:lang w:val="en-US" w:eastAsia="zh-CN"/>
              </w:rPr>
            </w:pPr>
            <w:r>
              <w:rPr>
                <w:rFonts w:hint="eastAsia"/>
                <w:b/>
                <w:bCs/>
                <w:color w:val="000000"/>
                <w:kern w:val="0"/>
                <w:sz w:val="22"/>
                <w:szCs w:val="22"/>
                <w:lang w:val="en-US" w:eastAsia="zh-CN"/>
              </w:rPr>
              <w:t>10</w:t>
            </w:r>
          </w:p>
        </w:tc>
      </w:tr>
      <w:tr w14:paraId="47BA16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28" w:type="pct"/>
            <w:vMerge w:val="continue"/>
            <w:shd w:val="clear" w:color="auto" w:fill="FFFFFF"/>
            <w:vAlign w:val="center"/>
          </w:tcPr>
          <w:p w14:paraId="063F8536">
            <w:pPr>
              <w:widowControl/>
              <w:spacing w:line="0" w:lineRule="atLeast"/>
              <w:jc w:val="center"/>
              <w:rPr>
                <w:color w:val="000000"/>
                <w:kern w:val="0"/>
                <w:sz w:val="22"/>
                <w:szCs w:val="22"/>
              </w:rPr>
            </w:pPr>
          </w:p>
        </w:tc>
        <w:tc>
          <w:tcPr>
            <w:tcW w:w="301" w:type="pct"/>
            <w:shd w:val="clear" w:color="auto" w:fill="FFFFFF"/>
            <w:vAlign w:val="center"/>
          </w:tcPr>
          <w:p w14:paraId="28FE94E2">
            <w:pPr>
              <w:widowControl/>
              <w:spacing w:line="0" w:lineRule="atLeast"/>
              <w:jc w:val="center"/>
              <w:rPr>
                <w:color w:val="000000"/>
                <w:kern w:val="0"/>
                <w:sz w:val="22"/>
                <w:szCs w:val="22"/>
              </w:rPr>
            </w:pPr>
            <w:r>
              <w:rPr>
                <w:color w:val="000000"/>
                <w:kern w:val="0"/>
                <w:sz w:val="22"/>
                <w:szCs w:val="22"/>
              </w:rPr>
              <w:t>产出成本</w:t>
            </w:r>
          </w:p>
        </w:tc>
        <w:tc>
          <w:tcPr>
            <w:tcW w:w="344" w:type="pct"/>
            <w:shd w:val="clear" w:color="auto" w:fill="FFFFFF"/>
            <w:vAlign w:val="center"/>
          </w:tcPr>
          <w:p w14:paraId="682B4F3D">
            <w:pPr>
              <w:widowControl/>
              <w:spacing w:line="0" w:lineRule="atLeast"/>
              <w:jc w:val="center"/>
              <w:rPr>
                <w:color w:val="000000"/>
                <w:kern w:val="0"/>
                <w:sz w:val="22"/>
                <w:szCs w:val="22"/>
              </w:rPr>
            </w:pPr>
            <w:r>
              <w:rPr>
                <w:color w:val="000000"/>
                <w:kern w:val="0"/>
                <w:sz w:val="22"/>
                <w:szCs w:val="22"/>
              </w:rPr>
              <w:t>成本节约率</w:t>
            </w:r>
          </w:p>
        </w:tc>
        <w:tc>
          <w:tcPr>
            <w:tcW w:w="927" w:type="pct"/>
            <w:shd w:val="clear" w:color="000000" w:fill="FFFFFF"/>
            <w:vAlign w:val="center"/>
          </w:tcPr>
          <w:p w14:paraId="06A8B4C3">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2048" w:type="pct"/>
            <w:shd w:val="clear" w:color="000000" w:fill="FFFFFF"/>
            <w:vAlign w:val="center"/>
          </w:tcPr>
          <w:p w14:paraId="21EA2F1B">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512" w:type="pct"/>
            <w:shd w:val="clear" w:color="000000" w:fill="FFFFFF"/>
            <w:vAlign w:val="center"/>
          </w:tcPr>
          <w:p w14:paraId="4813789D">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14:paraId="6A31CF1A">
            <w:pPr>
              <w:widowControl/>
              <w:spacing w:line="0" w:lineRule="atLeast"/>
              <w:jc w:val="center"/>
              <w:rPr>
                <w:rFonts w:hint="default" w:eastAsia="宋体"/>
                <w:b/>
                <w:bCs/>
                <w:color w:val="000000"/>
                <w:kern w:val="0"/>
                <w:sz w:val="22"/>
                <w:szCs w:val="22"/>
                <w:lang w:val="en-US" w:eastAsia="zh-CN"/>
              </w:rPr>
            </w:pPr>
            <w:r>
              <w:rPr>
                <w:rFonts w:hint="eastAsia"/>
                <w:b/>
                <w:bCs/>
                <w:color w:val="000000"/>
                <w:kern w:val="0"/>
                <w:sz w:val="22"/>
                <w:szCs w:val="22"/>
                <w:lang w:val="en-US" w:eastAsia="zh-CN"/>
              </w:rPr>
              <w:t>10</w:t>
            </w:r>
          </w:p>
        </w:tc>
      </w:tr>
      <w:tr w14:paraId="362E5B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28" w:type="pct"/>
            <w:vMerge w:val="restart"/>
            <w:shd w:val="clear" w:color="auto" w:fill="FFFFFF"/>
            <w:vAlign w:val="center"/>
          </w:tcPr>
          <w:p w14:paraId="714FED9E">
            <w:pPr>
              <w:widowControl/>
              <w:spacing w:line="0" w:lineRule="atLeast"/>
              <w:jc w:val="center"/>
              <w:rPr>
                <w:color w:val="000000"/>
                <w:kern w:val="0"/>
                <w:sz w:val="22"/>
                <w:szCs w:val="22"/>
              </w:rPr>
            </w:pPr>
            <w:r>
              <w:rPr>
                <w:color w:val="000000"/>
                <w:kern w:val="0"/>
                <w:sz w:val="22"/>
                <w:szCs w:val="22"/>
              </w:rPr>
              <w:t>效益　</w:t>
            </w:r>
          </w:p>
        </w:tc>
        <w:tc>
          <w:tcPr>
            <w:tcW w:w="301" w:type="pct"/>
            <w:vMerge w:val="restart"/>
            <w:shd w:val="clear" w:color="auto" w:fill="FFFFFF"/>
            <w:vAlign w:val="center"/>
          </w:tcPr>
          <w:p w14:paraId="67CD55AA">
            <w:pPr>
              <w:widowControl/>
              <w:spacing w:line="0" w:lineRule="atLeast"/>
              <w:jc w:val="center"/>
              <w:rPr>
                <w:color w:val="000000"/>
                <w:kern w:val="0"/>
                <w:sz w:val="22"/>
                <w:szCs w:val="22"/>
              </w:rPr>
            </w:pPr>
            <w:r>
              <w:rPr>
                <w:color w:val="000000"/>
                <w:kern w:val="0"/>
                <w:sz w:val="22"/>
                <w:szCs w:val="22"/>
              </w:rPr>
              <w:t>项目效益　</w:t>
            </w:r>
          </w:p>
        </w:tc>
        <w:tc>
          <w:tcPr>
            <w:tcW w:w="344" w:type="pct"/>
            <w:shd w:val="clear" w:color="auto" w:fill="FFFFFF"/>
            <w:vAlign w:val="center"/>
          </w:tcPr>
          <w:p w14:paraId="522E274A">
            <w:pPr>
              <w:widowControl/>
              <w:spacing w:line="0" w:lineRule="atLeast"/>
              <w:jc w:val="center"/>
              <w:rPr>
                <w:color w:val="000000"/>
                <w:kern w:val="0"/>
                <w:sz w:val="22"/>
                <w:szCs w:val="22"/>
              </w:rPr>
            </w:pPr>
            <w:r>
              <w:rPr>
                <w:color w:val="000000"/>
                <w:kern w:val="0"/>
                <w:sz w:val="22"/>
                <w:szCs w:val="22"/>
              </w:rPr>
              <w:t>实施效益</w:t>
            </w:r>
          </w:p>
        </w:tc>
        <w:tc>
          <w:tcPr>
            <w:tcW w:w="927" w:type="pct"/>
            <w:shd w:val="clear" w:color="auto" w:fill="FFFFFF"/>
            <w:vAlign w:val="center"/>
          </w:tcPr>
          <w:p w14:paraId="13DFAFA6">
            <w:pPr>
              <w:widowControl/>
              <w:spacing w:line="0" w:lineRule="atLeast"/>
              <w:jc w:val="left"/>
              <w:rPr>
                <w:color w:val="000000"/>
                <w:kern w:val="0"/>
                <w:sz w:val="22"/>
                <w:szCs w:val="22"/>
              </w:rPr>
            </w:pPr>
            <w:r>
              <w:rPr>
                <w:color w:val="000000"/>
                <w:kern w:val="0"/>
                <w:sz w:val="22"/>
                <w:szCs w:val="22"/>
              </w:rPr>
              <w:t>项目实施所产生的效益。</w:t>
            </w:r>
          </w:p>
        </w:tc>
        <w:tc>
          <w:tcPr>
            <w:tcW w:w="2048" w:type="pct"/>
            <w:shd w:val="clear" w:color="auto" w:fill="FFFFFF"/>
            <w:vAlign w:val="center"/>
          </w:tcPr>
          <w:p w14:paraId="0D5D3893">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512" w:type="pct"/>
            <w:shd w:val="clear" w:color="auto" w:fill="FFFFFF"/>
            <w:vAlign w:val="center"/>
          </w:tcPr>
          <w:p w14:paraId="6CFF4185">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auto" w:fill="FFFFFF"/>
            <w:vAlign w:val="center"/>
          </w:tcPr>
          <w:p w14:paraId="2C4839EC">
            <w:pPr>
              <w:widowControl/>
              <w:spacing w:line="0" w:lineRule="atLeast"/>
              <w:jc w:val="center"/>
              <w:rPr>
                <w:rFonts w:hint="default" w:eastAsia="宋体"/>
                <w:b/>
                <w:bCs/>
                <w:color w:val="000000"/>
                <w:kern w:val="0"/>
                <w:sz w:val="22"/>
                <w:szCs w:val="22"/>
                <w:lang w:val="en" w:eastAsia="zh-CN"/>
              </w:rPr>
            </w:pPr>
            <w:r>
              <w:rPr>
                <w:rFonts w:hint="default"/>
                <w:b/>
                <w:bCs/>
                <w:color w:val="000000"/>
                <w:kern w:val="0"/>
                <w:sz w:val="22"/>
                <w:szCs w:val="22"/>
                <w:lang w:val="en" w:eastAsia="zh-CN"/>
              </w:rPr>
              <w:t>10</w:t>
            </w:r>
          </w:p>
        </w:tc>
      </w:tr>
      <w:tr w14:paraId="4608C9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28" w:type="pct"/>
            <w:vMerge w:val="continue"/>
            <w:shd w:val="clear" w:color="auto" w:fill="FFFFFF"/>
            <w:vAlign w:val="center"/>
          </w:tcPr>
          <w:p w14:paraId="052E027A">
            <w:pPr>
              <w:widowControl/>
              <w:spacing w:line="0" w:lineRule="atLeast"/>
              <w:jc w:val="center"/>
              <w:rPr>
                <w:color w:val="000000"/>
                <w:kern w:val="0"/>
                <w:sz w:val="22"/>
                <w:szCs w:val="22"/>
              </w:rPr>
            </w:pPr>
          </w:p>
        </w:tc>
        <w:tc>
          <w:tcPr>
            <w:tcW w:w="301" w:type="pct"/>
            <w:vMerge w:val="continue"/>
            <w:shd w:val="clear" w:color="auto" w:fill="FFFFFF"/>
            <w:vAlign w:val="center"/>
          </w:tcPr>
          <w:p w14:paraId="3E1E1893">
            <w:pPr>
              <w:widowControl/>
              <w:spacing w:line="0" w:lineRule="atLeast"/>
              <w:jc w:val="center"/>
              <w:rPr>
                <w:color w:val="000000"/>
                <w:kern w:val="0"/>
                <w:sz w:val="22"/>
                <w:szCs w:val="22"/>
              </w:rPr>
            </w:pPr>
          </w:p>
        </w:tc>
        <w:tc>
          <w:tcPr>
            <w:tcW w:w="344" w:type="pct"/>
            <w:shd w:val="clear" w:color="auto" w:fill="FFFFFF"/>
            <w:vAlign w:val="center"/>
          </w:tcPr>
          <w:p w14:paraId="62FB76F6">
            <w:pPr>
              <w:widowControl/>
              <w:spacing w:line="0" w:lineRule="atLeast"/>
              <w:jc w:val="center"/>
              <w:rPr>
                <w:color w:val="000000"/>
                <w:kern w:val="0"/>
                <w:sz w:val="22"/>
                <w:szCs w:val="22"/>
              </w:rPr>
            </w:pPr>
            <w:r>
              <w:rPr>
                <w:color w:val="000000"/>
                <w:kern w:val="0"/>
                <w:sz w:val="22"/>
                <w:szCs w:val="22"/>
              </w:rPr>
              <w:t>满意度</w:t>
            </w:r>
          </w:p>
        </w:tc>
        <w:tc>
          <w:tcPr>
            <w:tcW w:w="927" w:type="pct"/>
            <w:shd w:val="clear" w:color="000000" w:fill="FFFFFF"/>
            <w:vAlign w:val="center"/>
          </w:tcPr>
          <w:p w14:paraId="7E68B898">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2048" w:type="pct"/>
            <w:shd w:val="clear" w:color="000000" w:fill="FFFFFF"/>
            <w:vAlign w:val="center"/>
          </w:tcPr>
          <w:p w14:paraId="17C9C935">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512" w:type="pct"/>
            <w:shd w:val="clear" w:color="000000" w:fill="FFFFFF"/>
            <w:vAlign w:val="center"/>
          </w:tcPr>
          <w:p w14:paraId="429A6C71">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14:paraId="549D55C2">
            <w:pPr>
              <w:widowControl/>
              <w:spacing w:line="0" w:lineRule="atLeast"/>
              <w:jc w:val="center"/>
              <w:rPr>
                <w:rFonts w:hint="default" w:eastAsia="宋体"/>
                <w:b/>
                <w:bCs/>
                <w:color w:val="000000"/>
                <w:kern w:val="0"/>
                <w:sz w:val="22"/>
                <w:szCs w:val="22"/>
                <w:lang w:val="en" w:eastAsia="zh-CN"/>
              </w:rPr>
            </w:pPr>
            <w:r>
              <w:rPr>
                <w:rFonts w:hint="default"/>
                <w:b/>
                <w:bCs/>
                <w:color w:val="000000"/>
                <w:kern w:val="0"/>
                <w:sz w:val="22"/>
                <w:szCs w:val="22"/>
                <w:lang w:val="en" w:eastAsia="zh-CN"/>
              </w:rPr>
              <w:t>10</w:t>
            </w:r>
          </w:p>
        </w:tc>
      </w:tr>
    </w:tbl>
    <w:p w14:paraId="56BEAD59"/>
    <w:p w14:paraId="3244E08D"/>
    <w:p w14:paraId="0F352CD0">
      <w:pPr>
        <w:pageBreakBefore w:val="0"/>
        <w:kinsoku/>
        <w:wordWrap/>
        <w:overflowPunct/>
        <w:topLinePunct w:val="0"/>
        <w:autoSpaceDE/>
        <w:autoSpaceDN/>
        <w:bidi w:val="0"/>
        <w:adjustRightInd/>
        <w:snapToGrid/>
        <w:spacing w:line="560" w:lineRule="exact"/>
        <w:rPr>
          <w:rStyle w:val="24"/>
          <w:rFonts w:eastAsia="仿宋"/>
          <w:b w:val="0"/>
          <w:spacing w:val="-4"/>
          <w:sz w:val="32"/>
          <w:szCs w:val="32"/>
        </w:rPr>
      </w:pPr>
    </w:p>
    <w:p w14:paraId="159392F5">
      <w:pPr>
        <w:pStyle w:val="2"/>
        <w:rPr>
          <w:rStyle w:val="24"/>
          <w:rFonts w:eastAsia="仿宋"/>
          <w:b w:val="0"/>
          <w:bCs/>
          <w:spacing w:val="-4"/>
          <w:sz w:val="32"/>
          <w:szCs w:val="32"/>
        </w:rPr>
      </w:pPr>
    </w:p>
    <w:p w14:paraId="554F34F3">
      <w:pPr>
        <w:rPr>
          <w:rStyle w:val="24"/>
          <w:rFonts w:eastAsia="仿宋"/>
          <w:b w:val="0"/>
          <w:spacing w:val="-4"/>
          <w:sz w:val="32"/>
          <w:szCs w:val="32"/>
        </w:rPr>
      </w:pPr>
    </w:p>
    <w:p w14:paraId="016B704F">
      <w:pPr>
        <w:pStyle w:val="2"/>
        <w:rPr>
          <w:rStyle w:val="24"/>
          <w:rFonts w:eastAsia="仿宋"/>
          <w:b w:val="0"/>
          <w:bCs/>
          <w:spacing w:val="-4"/>
          <w:sz w:val="32"/>
          <w:szCs w:val="32"/>
        </w:rPr>
      </w:pPr>
    </w:p>
    <w:p w14:paraId="7A891882">
      <w:pPr>
        <w:rPr>
          <w:rStyle w:val="24"/>
          <w:rFonts w:eastAsia="仿宋"/>
          <w:b w:val="0"/>
          <w:spacing w:val="-4"/>
          <w:sz w:val="32"/>
          <w:szCs w:val="32"/>
        </w:rPr>
      </w:pPr>
    </w:p>
    <w:p w14:paraId="18D10867">
      <w:pPr>
        <w:pStyle w:val="2"/>
        <w:rPr>
          <w:rStyle w:val="24"/>
          <w:rFonts w:eastAsia="仿宋"/>
          <w:b w:val="0"/>
          <w:bCs/>
          <w:spacing w:val="-4"/>
          <w:sz w:val="32"/>
          <w:szCs w:val="32"/>
        </w:rPr>
      </w:pPr>
    </w:p>
    <w:p w14:paraId="11EE6035">
      <w:pPr>
        <w:rPr>
          <w:rStyle w:val="24"/>
          <w:rFonts w:eastAsia="仿宋"/>
          <w:b w:val="0"/>
          <w:spacing w:val="-4"/>
          <w:sz w:val="32"/>
          <w:szCs w:val="32"/>
        </w:rPr>
      </w:pPr>
    </w:p>
    <w:tbl>
      <w:tblPr>
        <w:tblStyle w:val="22"/>
        <w:tblW w:w="0" w:type="auto"/>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64"/>
        <w:gridCol w:w="826"/>
        <w:gridCol w:w="1064"/>
        <w:gridCol w:w="2180"/>
        <w:gridCol w:w="1052"/>
        <w:gridCol w:w="1185"/>
        <w:gridCol w:w="1265"/>
        <w:gridCol w:w="792"/>
        <w:gridCol w:w="848"/>
        <w:gridCol w:w="791"/>
        <w:gridCol w:w="885"/>
        <w:gridCol w:w="876"/>
        <w:gridCol w:w="635"/>
        <w:gridCol w:w="1015"/>
      </w:tblGrid>
      <w:tr w14:paraId="2210DA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0" w:type="auto"/>
            <w:gridSpan w:val="14"/>
            <w:tcBorders>
              <w:top w:val="nil"/>
              <w:left w:val="nil"/>
              <w:bottom w:val="nil"/>
              <w:right w:val="nil"/>
            </w:tcBorders>
            <w:shd w:val="clear" w:color="auto" w:fill="auto"/>
            <w:vAlign w:val="center"/>
          </w:tcPr>
          <w:p w14:paraId="5B284233">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14:paraId="0B76B2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3CA17375">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(2024年度)</w:t>
            </w:r>
          </w:p>
        </w:tc>
      </w:tr>
      <w:tr w14:paraId="3728FD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774FD0">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0" w:type="auto"/>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60F70CC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六十年代精简退职老职工生活补助费</w:t>
            </w:r>
          </w:p>
        </w:tc>
      </w:tr>
      <w:tr w14:paraId="6A8789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AAB082">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B98560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新疆维吾尔自治区工业和信息化厅</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2A17F9">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实施单位</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711C837">
            <w:pPr>
              <w:keepNext w:val="0"/>
              <w:keepLines w:val="0"/>
              <w:widowControl/>
              <w:suppressLineNumbers w:val="0"/>
              <w:jc w:val="center"/>
              <w:textAlignment w:val="center"/>
              <w:rPr>
                <w:rFonts w:hint="default" w:ascii="宋体" w:hAnsi="宋体" w:eastAsia="宋体" w:cs="宋体"/>
                <w:i w:val="0"/>
                <w:color w:val="000000"/>
                <w:sz w:val="18"/>
                <w:szCs w:val="18"/>
                <w:u w:val="none"/>
                <w:lang w:val="en"/>
              </w:rPr>
            </w:pPr>
            <w:r>
              <w:rPr>
                <w:rFonts w:hint="default" w:ascii="宋体" w:hAnsi="宋体" w:eastAsia="宋体" w:cs="宋体"/>
                <w:i w:val="0"/>
                <w:color w:val="000000"/>
                <w:sz w:val="18"/>
                <w:szCs w:val="18"/>
                <w:u w:val="none"/>
                <w:lang w:val="en"/>
              </w:rPr>
              <w:t>新疆维吾尔自治区工业和信息化厅离退休干部工作处</w:t>
            </w:r>
          </w:p>
        </w:tc>
      </w:tr>
      <w:tr w14:paraId="160EAF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B3FE1D">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（万元）</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920CDA">
            <w:pPr>
              <w:jc w:val="center"/>
              <w:rPr>
                <w:rFonts w:hint="eastAsia" w:ascii="宋体" w:hAnsi="宋体" w:eastAsia="宋体" w:cs="宋体"/>
                <w:b/>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30546E">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年初预算数</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2D4615">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全年预算数</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1FC5A6">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全年执行数</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AF869D">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分值</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E8889E">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0F2240">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得分</w:t>
            </w:r>
          </w:p>
        </w:tc>
      </w:tr>
      <w:tr w14:paraId="130530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0CFAF8">
            <w:pPr>
              <w:jc w:val="center"/>
              <w:rPr>
                <w:rFonts w:hint="eastAsia" w:ascii="宋体" w:hAnsi="宋体" w:eastAsia="宋体" w:cs="宋体"/>
                <w:b/>
                <w:i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8C799A">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年度资金总额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51A89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19.01</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F9496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19.01</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2CEFE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19.01</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80BCC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DE071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84E4BB">
            <w:pPr>
              <w:jc w:val="center"/>
              <w:rPr>
                <w:rFonts w:hint="eastAsia" w:ascii="宋体" w:hAnsi="宋体" w:eastAsia="宋体" w:cs="宋体"/>
                <w:i w:val="0"/>
                <w:color w:val="000000"/>
                <w:sz w:val="18"/>
                <w:szCs w:val="18"/>
                <w:u w:val="none"/>
              </w:rPr>
            </w:pPr>
          </w:p>
        </w:tc>
      </w:tr>
      <w:tr w14:paraId="1A4DB9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2E5202">
            <w:pPr>
              <w:jc w:val="center"/>
              <w:rPr>
                <w:rFonts w:hint="eastAsia" w:ascii="宋体" w:hAnsi="宋体" w:eastAsia="宋体" w:cs="宋体"/>
                <w:b/>
                <w:i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98650C">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其中：当年财政拨款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57363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19.01</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67671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19.01</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F119A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19.01</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F297E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BD2A5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FD3AC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6CD547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9976DE">
            <w:pPr>
              <w:jc w:val="center"/>
              <w:rPr>
                <w:rFonts w:hint="eastAsia" w:ascii="宋体" w:hAnsi="宋体" w:eastAsia="宋体" w:cs="宋体"/>
                <w:b/>
                <w:i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B1E6C7">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 xml:space="preserve">  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3DE74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C57EF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81707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CE6CA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AE469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6A5DE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51E50B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964DB2">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年度总体目标</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A3D70AD">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预期目标</w:t>
            </w:r>
          </w:p>
        </w:tc>
        <w:tc>
          <w:tcPr>
            <w:tcW w:w="0" w:type="auto"/>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CA91AFA">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实际完成情况</w:t>
            </w:r>
          </w:p>
        </w:tc>
      </w:tr>
      <w:tr w14:paraId="5163C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F572FB">
            <w:pPr>
              <w:jc w:val="center"/>
              <w:rPr>
                <w:rFonts w:hint="eastAsia" w:ascii="宋体" w:hAnsi="宋体" w:eastAsia="宋体" w:cs="宋体"/>
                <w:b/>
                <w:i w:val="0"/>
                <w:color w:val="000000"/>
                <w:sz w:val="18"/>
                <w:szCs w:val="18"/>
                <w:u w:val="none"/>
              </w:rPr>
            </w:pP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94D22B0">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完善六十年代精简退职老职工基本生活保障机制，认真贯彻落实党和政府对老职工生活待遇给予的相关政策。2、做好困难老职工生活补助，建立健全困难老职工补助方面的核对、核查、认定、监督机制，提高困难老职工补助规范化管理水平和服务质量。3、按时发放六十年代精简退职老职工生活补助费，使老同志深切感受到党和政府的关怀，维护社会稳定。</w:t>
            </w:r>
          </w:p>
        </w:tc>
        <w:tc>
          <w:tcPr>
            <w:tcW w:w="0" w:type="auto"/>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EFE19BA">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认真贯彻落实了党和政府对老职工生活待遇给予的相关政策，提高了困难老职工补助规范化管理水平和服务质量，按时发放了六十年代精简退职老职工生活补助费，使老同志深切感受到党和政府的关怀，维护社会稳定。</w:t>
            </w:r>
          </w:p>
        </w:tc>
      </w:tr>
      <w:tr w14:paraId="1C5ADC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FB80B3">
            <w:pPr>
              <w:jc w:val="center"/>
              <w:rPr>
                <w:rFonts w:hint="eastAsia" w:ascii="宋体" w:hAnsi="宋体" w:eastAsia="宋体" w:cs="宋体"/>
                <w:i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92A7CA">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A4BFEE">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CCB8A8">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5A4E59">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权重</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94BECB">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目标值</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A92188">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业绩值</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01F43E">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完成率</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89FB46">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指标得分</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637F13">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指标值设定依据</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256916">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1A5C05">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赋分规则</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F654CE">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AC3808">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偏差原因分析及改进措施</w:t>
            </w:r>
          </w:p>
        </w:tc>
      </w:tr>
      <w:tr w14:paraId="2CB99C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D254A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730C82">
            <w:pPr>
              <w:jc w:val="center"/>
              <w:rPr>
                <w:rFonts w:hint="eastAsia" w:ascii="宋体" w:hAnsi="宋体" w:eastAsia="宋体" w:cs="宋体"/>
                <w:b/>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80D0EB">
            <w:pPr>
              <w:jc w:val="center"/>
              <w:rPr>
                <w:rFonts w:hint="eastAsia" w:ascii="宋体" w:hAnsi="宋体" w:eastAsia="宋体" w:cs="宋体"/>
                <w:b/>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280C6C">
            <w:pPr>
              <w:jc w:val="center"/>
              <w:rPr>
                <w:rFonts w:hint="eastAsia" w:ascii="宋体" w:hAnsi="宋体" w:eastAsia="宋体" w:cs="宋体"/>
                <w:b/>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DD6BC6">
            <w:pPr>
              <w:jc w:val="center"/>
              <w:rPr>
                <w:rFonts w:hint="eastAsia" w:ascii="宋体" w:hAnsi="宋体" w:eastAsia="宋体" w:cs="宋体"/>
                <w:b/>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8CCFF2">
            <w:pPr>
              <w:jc w:val="center"/>
              <w:rPr>
                <w:rFonts w:hint="eastAsia" w:ascii="宋体" w:hAnsi="宋体" w:eastAsia="宋体" w:cs="宋体"/>
                <w:b/>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7ABCFD">
            <w:pPr>
              <w:jc w:val="center"/>
              <w:rPr>
                <w:rFonts w:hint="eastAsia" w:ascii="宋体" w:hAnsi="宋体" w:eastAsia="宋体" w:cs="宋体"/>
                <w:b/>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BA317E">
            <w:pPr>
              <w:jc w:val="center"/>
              <w:rPr>
                <w:rFonts w:hint="eastAsia" w:ascii="宋体" w:hAnsi="宋体" w:eastAsia="宋体" w:cs="宋体"/>
                <w:b/>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9E72F9">
            <w:pPr>
              <w:jc w:val="center"/>
              <w:rPr>
                <w:rFonts w:hint="eastAsia" w:ascii="宋体" w:hAnsi="宋体" w:eastAsia="宋体" w:cs="宋体"/>
                <w:b/>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1B3FDA">
            <w:pPr>
              <w:jc w:val="center"/>
              <w:rPr>
                <w:rFonts w:hint="eastAsia" w:ascii="宋体" w:hAnsi="宋体" w:eastAsia="宋体" w:cs="宋体"/>
                <w:b/>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3407D4">
            <w:pPr>
              <w:jc w:val="center"/>
              <w:rPr>
                <w:rFonts w:hint="eastAsia" w:ascii="宋体" w:hAnsi="宋体" w:eastAsia="宋体" w:cs="宋体"/>
                <w:b/>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C5E655">
            <w:pPr>
              <w:jc w:val="center"/>
              <w:rPr>
                <w:rFonts w:hint="eastAsia" w:ascii="宋体" w:hAnsi="宋体" w:eastAsia="宋体" w:cs="宋体"/>
                <w:b/>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2B3E8E">
            <w:pPr>
              <w:jc w:val="center"/>
              <w:rPr>
                <w:rFonts w:hint="eastAsia" w:ascii="宋体" w:hAnsi="宋体" w:eastAsia="宋体" w:cs="宋体"/>
                <w:b/>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AB70F2">
            <w:pPr>
              <w:jc w:val="center"/>
              <w:rPr>
                <w:rFonts w:hint="eastAsia" w:ascii="宋体" w:hAnsi="宋体" w:eastAsia="宋体" w:cs="宋体"/>
                <w:b/>
                <w:i w:val="0"/>
                <w:color w:val="000000"/>
                <w:sz w:val="18"/>
                <w:szCs w:val="18"/>
                <w:u w:val="none"/>
              </w:rPr>
            </w:pPr>
          </w:p>
        </w:tc>
      </w:tr>
      <w:tr w14:paraId="592C3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6810B5">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年度绩效指标完成情况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BDD2F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B0CBC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F75CD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发放六十年代精简退职老职工生活补助费人数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5FA7A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BF1F9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&lt;=13人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69F63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D527B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84.61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03739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6FA6E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历史标准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C435A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C8262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C3D40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1FC69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2人去世</w:t>
            </w:r>
          </w:p>
        </w:tc>
      </w:tr>
      <w:tr w14:paraId="1DD25B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2338CD">
            <w:pPr>
              <w:jc w:val="center"/>
              <w:rPr>
                <w:rFonts w:hint="eastAsia" w:ascii="宋体" w:hAnsi="宋体" w:eastAsia="宋体" w:cs="宋体"/>
                <w:b/>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C59199">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D3164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BBA54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发放机关遗孀生活补贴人数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1C914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1C262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&lt;=7人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D1227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6D80E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3B00D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14C8D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历史标准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10D8F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A6300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A5772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640BAB">
            <w:pPr>
              <w:jc w:val="center"/>
              <w:rPr>
                <w:rFonts w:hint="eastAsia" w:ascii="宋体" w:hAnsi="宋体" w:eastAsia="宋体" w:cs="宋体"/>
                <w:i w:val="0"/>
                <w:color w:val="000000"/>
                <w:sz w:val="18"/>
                <w:szCs w:val="18"/>
                <w:u w:val="none"/>
              </w:rPr>
            </w:pPr>
          </w:p>
        </w:tc>
      </w:tr>
      <w:tr w14:paraId="3D70EE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1001F5">
            <w:pPr>
              <w:jc w:val="center"/>
              <w:rPr>
                <w:rFonts w:hint="eastAsia" w:ascii="宋体" w:hAnsi="宋体" w:eastAsia="宋体" w:cs="宋体"/>
                <w:b/>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45A662">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45BC5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9FD30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发放六十年代精简退职老职工生活补助覆盖率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BBD3A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F5E91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923E6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BA98C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4F0DC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98111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历史标准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D62A2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F36A5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A6145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正式材料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E2DEC6">
            <w:pPr>
              <w:jc w:val="center"/>
              <w:rPr>
                <w:rFonts w:hint="eastAsia" w:ascii="宋体" w:hAnsi="宋体" w:eastAsia="宋体" w:cs="宋体"/>
                <w:i w:val="0"/>
                <w:color w:val="000000"/>
                <w:sz w:val="18"/>
                <w:szCs w:val="18"/>
                <w:u w:val="none"/>
              </w:rPr>
            </w:pPr>
          </w:p>
        </w:tc>
      </w:tr>
      <w:tr w14:paraId="709FCE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04F1C3">
            <w:pPr>
              <w:jc w:val="center"/>
              <w:rPr>
                <w:rFonts w:hint="eastAsia" w:ascii="宋体" w:hAnsi="宋体" w:eastAsia="宋体" w:cs="宋体"/>
                <w:b/>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71F38E">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E8749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9F2CB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补助发放及时率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3BBFD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AD410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&gt;=95%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E566B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9FEF3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7869E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88E54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历史标准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32DC6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1DEA7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6AC33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36EF0B">
            <w:pPr>
              <w:jc w:val="center"/>
              <w:rPr>
                <w:rFonts w:hint="eastAsia" w:ascii="宋体" w:hAnsi="宋体" w:eastAsia="宋体" w:cs="宋体"/>
                <w:i w:val="0"/>
                <w:color w:val="000000"/>
                <w:sz w:val="18"/>
                <w:szCs w:val="18"/>
                <w:u w:val="none"/>
              </w:rPr>
            </w:pPr>
          </w:p>
        </w:tc>
      </w:tr>
      <w:tr w14:paraId="1F4C2B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05C650">
            <w:pPr>
              <w:jc w:val="center"/>
              <w:rPr>
                <w:rFonts w:hint="eastAsia" w:ascii="宋体" w:hAnsi="宋体" w:eastAsia="宋体" w:cs="宋体"/>
                <w:b/>
                <w:i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EA8AD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CE16B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E95E1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每月发放六十年代精简退职老职工生活补助费人均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1886B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E9D7D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&lt;=660元/人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CF7A0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=0.396万元/人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364C9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2194C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42CBE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预算支出标准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F2269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204DE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0112F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原始凭证</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3B498A">
            <w:pPr>
              <w:jc w:val="center"/>
              <w:rPr>
                <w:rFonts w:hint="eastAsia" w:ascii="宋体" w:hAnsi="宋体" w:eastAsia="宋体" w:cs="宋体"/>
                <w:i w:val="0"/>
                <w:color w:val="000000"/>
                <w:sz w:val="18"/>
                <w:szCs w:val="18"/>
                <w:u w:val="none"/>
              </w:rPr>
            </w:pPr>
          </w:p>
        </w:tc>
      </w:tr>
      <w:tr w14:paraId="62DD3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C36F49">
            <w:pPr>
              <w:jc w:val="center"/>
              <w:rPr>
                <w:rFonts w:hint="eastAsia" w:ascii="宋体" w:hAnsi="宋体" w:eastAsia="宋体" w:cs="宋体"/>
                <w:b/>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94723D">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7EBD6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3C6CD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每月发放机关遗孀生活补贴人均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4C780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E3E47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&lt;=1300元/人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75C2C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=1300元/人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9020F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BF9A8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8284C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预算支出标准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FFE3A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2B1BC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9275A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原始凭证</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033B6C">
            <w:pPr>
              <w:jc w:val="center"/>
              <w:rPr>
                <w:rFonts w:hint="eastAsia" w:ascii="宋体" w:hAnsi="宋体" w:eastAsia="宋体" w:cs="宋体"/>
                <w:i w:val="0"/>
                <w:color w:val="000000"/>
                <w:sz w:val="18"/>
                <w:szCs w:val="18"/>
                <w:u w:val="none"/>
              </w:rPr>
            </w:pPr>
          </w:p>
        </w:tc>
      </w:tr>
      <w:tr w14:paraId="3D7FE1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1537BD">
            <w:pPr>
              <w:jc w:val="center"/>
              <w:rPr>
                <w:rFonts w:hint="eastAsia" w:ascii="宋体" w:hAnsi="宋体" w:eastAsia="宋体" w:cs="宋体"/>
                <w:b/>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5F01B7">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0DF40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C10877">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91A647">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163400">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B90EB0">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D65806">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E9A832">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EFA5C4">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B49036">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35BB9C">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F38179">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0F9FCB">
            <w:pPr>
              <w:jc w:val="center"/>
              <w:rPr>
                <w:rFonts w:hint="eastAsia" w:ascii="宋体" w:hAnsi="宋体" w:eastAsia="宋体" w:cs="宋体"/>
                <w:i w:val="0"/>
                <w:color w:val="000000"/>
                <w:sz w:val="18"/>
                <w:szCs w:val="18"/>
                <w:u w:val="none"/>
              </w:rPr>
            </w:pPr>
          </w:p>
        </w:tc>
      </w:tr>
      <w:tr w14:paraId="6651E0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460747">
            <w:pPr>
              <w:jc w:val="center"/>
              <w:rPr>
                <w:rFonts w:hint="eastAsia" w:ascii="宋体" w:hAnsi="宋体" w:eastAsia="宋体" w:cs="宋体"/>
                <w:b/>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EFE431">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9518E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生态环境成本指标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4C7876">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50DEDA">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546C18">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CFC215">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12F302">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EB7529">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4F18E3">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E5BA9F">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CA4920">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312104">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73A217">
            <w:pPr>
              <w:jc w:val="center"/>
              <w:rPr>
                <w:rFonts w:hint="eastAsia" w:ascii="宋体" w:hAnsi="宋体" w:eastAsia="宋体" w:cs="宋体"/>
                <w:i w:val="0"/>
                <w:color w:val="000000"/>
                <w:sz w:val="18"/>
                <w:szCs w:val="18"/>
                <w:u w:val="none"/>
              </w:rPr>
            </w:pPr>
          </w:p>
        </w:tc>
      </w:tr>
      <w:tr w14:paraId="0603F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3D9FC0">
            <w:pPr>
              <w:jc w:val="center"/>
              <w:rPr>
                <w:rFonts w:hint="eastAsia" w:ascii="宋体" w:hAnsi="宋体" w:eastAsia="宋体" w:cs="宋体"/>
                <w:b/>
                <w:i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17E20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0A858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D0CA4D">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3D7125">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F945A1">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3866EE">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582A0B">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A1D094">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B5A8B8">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B49FC2">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73A86D">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B3DEA6">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312D4E">
            <w:pPr>
              <w:jc w:val="center"/>
              <w:rPr>
                <w:rFonts w:hint="eastAsia" w:ascii="宋体" w:hAnsi="宋体" w:eastAsia="宋体" w:cs="宋体"/>
                <w:i w:val="0"/>
                <w:color w:val="000000"/>
                <w:sz w:val="18"/>
                <w:szCs w:val="18"/>
                <w:u w:val="none"/>
              </w:rPr>
            </w:pPr>
          </w:p>
        </w:tc>
      </w:tr>
      <w:tr w14:paraId="6A61C6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5EE92A">
            <w:pPr>
              <w:jc w:val="center"/>
              <w:rPr>
                <w:rFonts w:hint="eastAsia" w:ascii="宋体" w:hAnsi="宋体" w:eastAsia="宋体" w:cs="宋体"/>
                <w:b/>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3D766F">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118EF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F2C8A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保障六十年代精简退职老职工生活待遇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A2CB4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71D38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效果保障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7DEB5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效果保障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FF43C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54D4A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8C469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AE3AF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FAD4D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按评判等级赋分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82AE7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E964FF">
            <w:pPr>
              <w:jc w:val="center"/>
              <w:rPr>
                <w:rFonts w:hint="eastAsia" w:ascii="宋体" w:hAnsi="宋体" w:eastAsia="宋体" w:cs="宋体"/>
                <w:i w:val="0"/>
                <w:color w:val="000000"/>
                <w:sz w:val="18"/>
                <w:szCs w:val="18"/>
                <w:u w:val="none"/>
              </w:rPr>
            </w:pPr>
          </w:p>
        </w:tc>
      </w:tr>
      <w:tr w14:paraId="23F366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B1E22F">
            <w:pPr>
              <w:jc w:val="center"/>
              <w:rPr>
                <w:rFonts w:hint="eastAsia" w:ascii="宋体" w:hAnsi="宋体" w:eastAsia="宋体" w:cs="宋体"/>
                <w:b/>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9321CB">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454DA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67681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群体上访事件发生率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3B997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34B09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02DE3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20E66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2A7CB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CAC3F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历史标准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E335B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A7781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81967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93F265">
            <w:pPr>
              <w:jc w:val="center"/>
              <w:rPr>
                <w:rFonts w:hint="eastAsia" w:ascii="宋体" w:hAnsi="宋体" w:eastAsia="宋体" w:cs="宋体"/>
                <w:i w:val="0"/>
                <w:color w:val="000000"/>
                <w:sz w:val="18"/>
                <w:szCs w:val="18"/>
                <w:u w:val="none"/>
              </w:rPr>
            </w:pPr>
          </w:p>
        </w:tc>
      </w:tr>
      <w:tr w14:paraId="2C85DC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B8D7AF">
            <w:pPr>
              <w:jc w:val="center"/>
              <w:rPr>
                <w:rFonts w:hint="eastAsia" w:ascii="宋体" w:hAnsi="宋体" w:eastAsia="宋体" w:cs="宋体"/>
                <w:b/>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754A5B">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804CC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DB3F48">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A15EC0">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B4E1CF">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9CB1C1">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46E25B">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9CBE46">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0224A2">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8BDFDE">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A9E0F5">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64EAA3">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ED40C3">
            <w:pPr>
              <w:jc w:val="center"/>
              <w:rPr>
                <w:rFonts w:hint="eastAsia" w:ascii="宋体" w:hAnsi="宋体" w:eastAsia="宋体" w:cs="宋体"/>
                <w:i w:val="0"/>
                <w:color w:val="000000"/>
                <w:sz w:val="18"/>
                <w:szCs w:val="18"/>
                <w:u w:val="none"/>
              </w:rPr>
            </w:pPr>
          </w:p>
        </w:tc>
      </w:tr>
      <w:tr w14:paraId="1DC876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AA062D">
            <w:pPr>
              <w:jc w:val="center"/>
              <w:rPr>
                <w:rFonts w:hint="eastAsia" w:ascii="宋体" w:hAnsi="宋体" w:eastAsia="宋体" w:cs="宋体"/>
                <w:b/>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6AA62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24E54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22A4D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六十年代精简退职老职工满意度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4080E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7186F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B26F2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414F0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F7418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17259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历史标准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629AE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D6F5C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满意度赋分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71DA6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3FB5D8">
            <w:pPr>
              <w:jc w:val="center"/>
              <w:rPr>
                <w:rFonts w:hint="eastAsia" w:ascii="宋体" w:hAnsi="宋体" w:eastAsia="宋体" w:cs="宋体"/>
                <w:i w:val="0"/>
                <w:color w:val="000000"/>
                <w:sz w:val="18"/>
                <w:szCs w:val="18"/>
                <w:u w:val="none"/>
              </w:rPr>
            </w:pPr>
          </w:p>
        </w:tc>
      </w:tr>
      <w:tr w14:paraId="70B96E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gridSpan w:val="4"/>
            <w:tcBorders>
              <w:top w:val="single" w:color="000000" w:sz="4" w:space="0"/>
              <w:left w:val="single" w:color="000000" w:sz="4" w:space="0"/>
              <w:bottom w:val="single" w:color="000000" w:sz="4" w:space="0"/>
              <w:right w:val="nil"/>
            </w:tcBorders>
            <w:shd w:val="clear" w:color="auto" w:fill="auto"/>
            <w:vAlign w:val="center"/>
          </w:tcPr>
          <w:p w14:paraId="31CD690D">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总分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716D5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nil"/>
              <w:bottom w:val="single" w:color="000000" w:sz="4" w:space="0"/>
              <w:right w:val="single" w:color="000000" w:sz="4" w:space="0"/>
            </w:tcBorders>
            <w:shd w:val="clear" w:color="auto" w:fill="auto"/>
            <w:vAlign w:val="center"/>
          </w:tcPr>
          <w:p w14:paraId="3EE1A3F5">
            <w:pPr>
              <w:rPr>
                <w:rFonts w:hint="eastAsia" w:ascii="宋体" w:hAnsi="宋体" w:eastAsia="宋体" w:cs="宋体"/>
                <w:b/>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D3AF23">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79D1A9">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7E35A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96.15分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A4496A">
            <w:pP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1DD839">
            <w:pP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4D8CCA">
            <w:pP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E541D3">
            <w:pP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961BE9">
            <w:pPr>
              <w:rPr>
                <w:rFonts w:hint="eastAsia" w:ascii="宋体" w:hAnsi="宋体" w:eastAsia="宋体" w:cs="宋体"/>
                <w:i w:val="0"/>
                <w:color w:val="000000"/>
                <w:sz w:val="18"/>
                <w:szCs w:val="18"/>
                <w:u w:val="none"/>
              </w:rPr>
            </w:pPr>
          </w:p>
        </w:tc>
      </w:tr>
    </w:tbl>
    <w:p w14:paraId="0326CB0F">
      <w:pPr>
        <w:pStyle w:val="2"/>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9FBD956">
        <w:pPr>
          <w:pStyle w:val="16"/>
          <w:jc w:val="center"/>
        </w:pPr>
        <w:r>
          <w:fldChar w:fldCharType="begin"/>
        </w:r>
        <w:r>
          <w:instrText xml:space="preserve">PAGE   \* MERGEFORMAT</w:instrText>
        </w:r>
        <w:r>
          <w:fldChar w:fldCharType="separate"/>
        </w:r>
        <w:r>
          <w:rPr>
            <w:lang w:val="zh-CN"/>
          </w:rPr>
          <w:t>17</w:t>
        </w:r>
        <w:r>
          <w:fldChar w:fldCharType="end"/>
        </w:r>
      </w:p>
    </w:sdtContent>
  </w:sdt>
  <w:p w14:paraId="2B839332">
    <w:pPr>
      <w:pStyle w:val="1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3853AE"/>
    <w:multiLevelType w:val="singleLevel"/>
    <w:tmpl w:val="E83853AE"/>
    <w:lvl w:ilvl="0" w:tentative="0">
      <w:start w:val="2"/>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38F0C646"/>
    <w:multiLevelType w:val="singleLevel"/>
    <w:tmpl w:val="38F0C646"/>
    <w:lvl w:ilvl="0" w:tentative="0">
      <w:start w:val="1"/>
      <w:numFmt w:val="decimal"/>
      <w:suff w:val="nothing"/>
      <w:lvlText w:val="%1、"/>
      <w:lvlJc w:val="left"/>
    </w:lvl>
  </w:abstractNum>
  <w:abstractNum w:abstractNumId="5">
    <w:nsid w:val="5E941A6D"/>
    <w:multiLevelType w:val="singleLevel"/>
    <w:tmpl w:val="5E941A6D"/>
    <w:lvl w:ilvl="0" w:tentative="0">
      <w:start w:val="1"/>
      <w:numFmt w:val="decimal"/>
      <w:lvlText w:val="%1."/>
      <w:lvlJc w:val="left"/>
      <w:pPr>
        <w:tabs>
          <w:tab w:val="left" w:pos="312"/>
        </w:tabs>
      </w:pPr>
    </w:lvl>
  </w:abstractNum>
  <w:abstractNum w:abstractNumId="6">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4"/>
  </w:num>
  <w:num w:numId="4">
    <w:abstractNumId w:val="2"/>
  </w:num>
  <w:num w:numId="5">
    <w:abstractNumId w:val="6"/>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E4OGVhYjU4MjRmMzYwODE4NDhmNmQ5NjQwZGFjMzAifQ=="/>
  </w:docVars>
  <w:rsids>
    <w:rsidRoot w:val="00CA6457"/>
    <w:rsid w:val="00056465"/>
    <w:rsid w:val="000E50F0"/>
    <w:rsid w:val="000E586C"/>
    <w:rsid w:val="00121AE4"/>
    <w:rsid w:val="00146AAD"/>
    <w:rsid w:val="001B3A40"/>
    <w:rsid w:val="00200850"/>
    <w:rsid w:val="003748BB"/>
    <w:rsid w:val="003C18BC"/>
    <w:rsid w:val="00430B95"/>
    <w:rsid w:val="004366A8"/>
    <w:rsid w:val="00464900"/>
    <w:rsid w:val="0050203C"/>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20F12"/>
    <w:rsid w:val="00C56C72"/>
    <w:rsid w:val="00CA6457"/>
    <w:rsid w:val="00D17F2E"/>
    <w:rsid w:val="00D30354"/>
    <w:rsid w:val="00DF42A0"/>
    <w:rsid w:val="00DF7C45"/>
    <w:rsid w:val="00E31565"/>
    <w:rsid w:val="00E46C51"/>
    <w:rsid w:val="00E659F7"/>
    <w:rsid w:val="00E769FE"/>
    <w:rsid w:val="00EA2CBE"/>
    <w:rsid w:val="00F20494"/>
    <w:rsid w:val="00F32FEE"/>
    <w:rsid w:val="00F71278"/>
    <w:rsid w:val="00FA15E9"/>
    <w:rsid w:val="00FB10BB"/>
    <w:rsid w:val="051A56F5"/>
    <w:rsid w:val="066D6EAA"/>
    <w:rsid w:val="06DC1681"/>
    <w:rsid w:val="08C662D4"/>
    <w:rsid w:val="09BD4D95"/>
    <w:rsid w:val="0B0F58D6"/>
    <w:rsid w:val="0F8D41CB"/>
    <w:rsid w:val="0FEE2F21"/>
    <w:rsid w:val="11C75270"/>
    <w:rsid w:val="12637CC3"/>
    <w:rsid w:val="12BF847A"/>
    <w:rsid w:val="12E657C5"/>
    <w:rsid w:val="133C6E2A"/>
    <w:rsid w:val="167C7687"/>
    <w:rsid w:val="168B3546"/>
    <w:rsid w:val="17BF7D46"/>
    <w:rsid w:val="1A2374E0"/>
    <w:rsid w:val="1C317CE2"/>
    <w:rsid w:val="1DCF6C9A"/>
    <w:rsid w:val="1DD45808"/>
    <w:rsid w:val="1DED42AC"/>
    <w:rsid w:val="1FFB77E3"/>
    <w:rsid w:val="20005763"/>
    <w:rsid w:val="20FB313D"/>
    <w:rsid w:val="220B4804"/>
    <w:rsid w:val="266D32DD"/>
    <w:rsid w:val="278B653F"/>
    <w:rsid w:val="282475E3"/>
    <w:rsid w:val="29E421D9"/>
    <w:rsid w:val="2BEF8153"/>
    <w:rsid w:val="2C6100C1"/>
    <w:rsid w:val="30B93B19"/>
    <w:rsid w:val="3235157C"/>
    <w:rsid w:val="3264220D"/>
    <w:rsid w:val="32A83563"/>
    <w:rsid w:val="38872456"/>
    <w:rsid w:val="3963178C"/>
    <w:rsid w:val="3B5A582F"/>
    <w:rsid w:val="3BA5236D"/>
    <w:rsid w:val="3CED0699"/>
    <w:rsid w:val="3EB02FD6"/>
    <w:rsid w:val="41CC2676"/>
    <w:rsid w:val="45365E96"/>
    <w:rsid w:val="46B21672"/>
    <w:rsid w:val="48F70D29"/>
    <w:rsid w:val="4F552460"/>
    <w:rsid w:val="4FCC6863"/>
    <w:rsid w:val="500A214A"/>
    <w:rsid w:val="522D604D"/>
    <w:rsid w:val="5297585E"/>
    <w:rsid w:val="52AD7D6F"/>
    <w:rsid w:val="53EB7E77"/>
    <w:rsid w:val="5549519D"/>
    <w:rsid w:val="5557596B"/>
    <w:rsid w:val="5B596DFC"/>
    <w:rsid w:val="5D6D6F1A"/>
    <w:rsid w:val="5DAE6D00"/>
    <w:rsid w:val="5DF03945"/>
    <w:rsid w:val="5F03526B"/>
    <w:rsid w:val="5FEF6F94"/>
    <w:rsid w:val="62E515AF"/>
    <w:rsid w:val="637C2815"/>
    <w:rsid w:val="666B4FDC"/>
    <w:rsid w:val="67FF13C8"/>
    <w:rsid w:val="682144B7"/>
    <w:rsid w:val="6B503F77"/>
    <w:rsid w:val="6DCB0AE1"/>
    <w:rsid w:val="6E311968"/>
    <w:rsid w:val="6FB95CC7"/>
    <w:rsid w:val="6FEFFDBB"/>
    <w:rsid w:val="72FF7B1A"/>
    <w:rsid w:val="77E497D6"/>
    <w:rsid w:val="7A353D0B"/>
    <w:rsid w:val="7B7EF056"/>
    <w:rsid w:val="7CB927D8"/>
    <w:rsid w:val="7D3A5E2F"/>
    <w:rsid w:val="7D671F31"/>
    <w:rsid w:val="7ECF8B6F"/>
    <w:rsid w:val="7EFF6AED"/>
    <w:rsid w:val="7F749F7E"/>
    <w:rsid w:val="7FFF4195"/>
    <w:rsid w:val="8FFA9D3E"/>
    <w:rsid w:val="B7FFAC9D"/>
    <w:rsid w:val="BF3EB5F0"/>
    <w:rsid w:val="BF6A9536"/>
    <w:rsid w:val="BF8FA55B"/>
    <w:rsid w:val="D7DFD27E"/>
    <w:rsid w:val="DF8F680A"/>
    <w:rsid w:val="DFAD248D"/>
    <w:rsid w:val="E3F713C6"/>
    <w:rsid w:val="EFB523C8"/>
    <w:rsid w:val="F6FBB45B"/>
    <w:rsid w:val="F7F8941F"/>
    <w:rsid w:val="F8EB3904"/>
    <w:rsid w:val="FBE7C0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6"/>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7"/>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8"/>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9"/>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30"/>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31"/>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2"/>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3"/>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4"/>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3">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5"/>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text"/>
    <w:basedOn w:val="1"/>
    <w:qFormat/>
    <w:uiPriority w:val="0"/>
    <w:pPr>
      <w:jc w:val="left"/>
    </w:pPr>
  </w:style>
  <w:style w:type="paragraph" w:styleId="13">
    <w:name w:val="Body Text"/>
    <w:basedOn w:val="1"/>
    <w:qFormat/>
    <w:uiPriority w:val="0"/>
    <w:pPr>
      <w:spacing w:after="120"/>
    </w:pPr>
  </w:style>
  <w:style w:type="paragraph" w:styleId="14">
    <w:name w:val="Body Text Indent"/>
    <w:basedOn w:val="1"/>
    <w:qFormat/>
    <w:uiPriority w:val="0"/>
    <w:pPr>
      <w:spacing w:after="120"/>
      <w:ind w:left="420" w:leftChars="200"/>
    </w:pPr>
    <w:rPr>
      <w:rFonts w:ascii="Calibri" w:hAnsi="Calibri"/>
    </w:rPr>
  </w:style>
  <w:style w:type="paragraph" w:styleId="15">
    <w:name w:val="Balloon Text"/>
    <w:basedOn w:val="1"/>
    <w:link w:val="51"/>
    <w:semiHidden/>
    <w:unhideWhenUsed/>
    <w:qFormat/>
    <w:uiPriority w:val="99"/>
    <w:rPr>
      <w:sz w:val="18"/>
      <w:szCs w:val="18"/>
    </w:rPr>
  </w:style>
  <w:style w:type="paragraph" w:styleId="16">
    <w:name w:val="footer"/>
    <w:basedOn w:val="1"/>
    <w:link w:val="50"/>
    <w:unhideWhenUsed/>
    <w:qFormat/>
    <w:uiPriority w:val="99"/>
    <w:pPr>
      <w:tabs>
        <w:tab w:val="center" w:pos="4153"/>
        <w:tab w:val="right" w:pos="8306"/>
      </w:tabs>
      <w:snapToGrid w:val="0"/>
      <w:jc w:val="left"/>
    </w:pPr>
    <w:rPr>
      <w:rFonts w:ascii="Calibri" w:hAnsi="Calibri"/>
      <w:sz w:val="18"/>
      <w:szCs w:val="18"/>
    </w:rPr>
  </w:style>
  <w:style w:type="paragraph" w:styleId="17">
    <w:name w:val="header"/>
    <w:basedOn w:val="1"/>
    <w:link w:val="49"/>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8">
    <w:name w:val="Subtitle"/>
    <w:basedOn w:val="1"/>
    <w:next w:val="1"/>
    <w:link w:val="36"/>
    <w:qFormat/>
    <w:uiPriority w:val="11"/>
    <w:pPr>
      <w:widowControl/>
      <w:spacing w:after="60"/>
      <w:jc w:val="center"/>
      <w:outlineLvl w:val="1"/>
    </w:pPr>
    <w:rPr>
      <w:rFonts w:asciiTheme="majorHAnsi" w:hAnsiTheme="majorHAnsi" w:eastAsiaTheme="majorEastAsia"/>
      <w:kern w:val="0"/>
      <w:sz w:val="24"/>
    </w:rPr>
  </w:style>
  <w:style w:type="paragraph" w:styleId="19">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20">
    <w:name w:val="Body Text First Indent"/>
    <w:basedOn w:val="13"/>
    <w:qFormat/>
    <w:uiPriority w:val="0"/>
    <w:pPr>
      <w:spacing w:after="0"/>
      <w:ind w:firstLine="200" w:firstLineChars="200"/>
    </w:pPr>
  </w:style>
  <w:style w:type="paragraph" w:styleId="21">
    <w:name w:val="Body Text First Indent 2"/>
    <w:basedOn w:val="14"/>
    <w:qFormat/>
    <w:uiPriority w:val="0"/>
    <w:pPr>
      <w:ind w:firstLine="420" w:firstLineChars="200"/>
    </w:pPr>
  </w:style>
  <w:style w:type="character" w:styleId="24">
    <w:name w:val="Strong"/>
    <w:basedOn w:val="23"/>
    <w:qFormat/>
    <w:uiPriority w:val="0"/>
    <w:rPr>
      <w:b/>
      <w:bCs/>
    </w:rPr>
  </w:style>
  <w:style w:type="character" w:styleId="25">
    <w:name w:val="Emphasis"/>
    <w:basedOn w:val="23"/>
    <w:qFormat/>
    <w:uiPriority w:val="20"/>
    <w:rPr>
      <w:rFonts w:asciiTheme="minorHAnsi" w:hAnsiTheme="minorHAnsi"/>
      <w:b/>
      <w:i/>
      <w:iCs/>
    </w:rPr>
  </w:style>
  <w:style w:type="character" w:customStyle="1" w:styleId="26">
    <w:name w:val="标题 1 字符"/>
    <w:basedOn w:val="23"/>
    <w:link w:val="3"/>
    <w:qFormat/>
    <w:uiPriority w:val="9"/>
    <w:rPr>
      <w:rFonts w:asciiTheme="majorHAnsi" w:hAnsiTheme="majorHAnsi" w:eastAsiaTheme="majorEastAsia"/>
      <w:b/>
      <w:bCs/>
      <w:kern w:val="32"/>
      <w:sz w:val="32"/>
      <w:szCs w:val="32"/>
    </w:rPr>
  </w:style>
  <w:style w:type="character" w:customStyle="1" w:styleId="27">
    <w:name w:val="标题 2 字符"/>
    <w:basedOn w:val="23"/>
    <w:link w:val="4"/>
    <w:semiHidden/>
    <w:qFormat/>
    <w:uiPriority w:val="9"/>
    <w:rPr>
      <w:rFonts w:asciiTheme="majorHAnsi" w:hAnsiTheme="majorHAnsi" w:eastAsiaTheme="majorEastAsia"/>
      <w:b/>
      <w:bCs/>
      <w:i/>
      <w:iCs/>
      <w:sz w:val="28"/>
      <w:szCs w:val="28"/>
    </w:rPr>
  </w:style>
  <w:style w:type="character" w:customStyle="1" w:styleId="28">
    <w:name w:val="标题 3 字符"/>
    <w:basedOn w:val="23"/>
    <w:link w:val="5"/>
    <w:semiHidden/>
    <w:qFormat/>
    <w:uiPriority w:val="9"/>
    <w:rPr>
      <w:rFonts w:asciiTheme="majorHAnsi" w:hAnsiTheme="majorHAnsi" w:eastAsiaTheme="majorEastAsia"/>
      <w:b/>
      <w:bCs/>
      <w:sz w:val="26"/>
      <w:szCs w:val="26"/>
    </w:rPr>
  </w:style>
  <w:style w:type="character" w:customStyle="1" w:styleId="29">
    <w:name w:val="标题 4 字符"/>
    <w:basedOn w:val="23"/>
    <w:link w:val="6"/>
    <w:semiHidden/>
    <w:qFormat/>
    <w:uiPriority w:val="9"/>
    <w:rPr>
      <w:b/>
      <w:bCs/>
      <w:sz w:val="28"/>
      <w:szCs w:val="28"/>
    </w:rPr>
  </w:style>
  <w:style w:type="character" w:customStyle="1" w:styleId="30">
    <w:name w:val="标题 5 字符"/>
    <w:basedOn w:val="23"/>
    <w:link w:val="7"/>
    <w:semiHidden/>
    <w:qFormat/>
    <w:uiPriority w:val="9"/>
    <w:rPr>
      <w:b/>
      <w:bCs/>
      <w:i/>
      <w:iCs/>
      <w:sz w:val="26"/>
      <w:szCs w:val="26"/>
    </w:rPr>
  </w:style>
  <w:style w:type="character" w:customStyle="1" w:styleId="31">
    <w:name w:val="标题 6 字符"/>
    <w:basedOn w:val="23"/>
    <w:link w:val="8"/>
    <w:semiHidden/>
    <w:qFormat/>
    <w:uiPriority w:val="9"/>
    <w:rPr>
      <w:b/>
      <w:bCs/>
    </w:rPr>
  </w:style>
  <w:style w:type="character" w:customStyle="1" w:styleId="32">
    <w:name w:val="标题 7 字符"/>
    <w:basedOn w:val="23"/>
    <w:link w:val="9"/>
    <w:semiHidden/>
    <w:qFormat/>
    <w:uiPriority w:val="9"/>
    <w:rPr>
      <w:sz w:val="24"/>
      <w:szCs w:val="24"/>
    </w:rPr>
  </w:style>
  <w:style w:type="character" w:customStyle="1" w:styleId="33">
    <w:name w:val="标题 8 字符"/>
    <w:basedOn w:val="23"/>
    <w:link w:val="10"/>
    <w:semiHidden/>
    <w:qFormat/>
    <w:uiPriority w:val="9"/>
    <w:rPr>
      <w:i/>
      <w:iCs/>
      <w:sz w:val="24"/>
      <w:szCs w:val="24"/>
    </w:rPr>
  </w:style>
  <w:style w:type="character" w:customStyle="1" w:styleId="34">
    <w:name w:val="标题 9 字符"/>
    <w:basedOn w:val="23"/>
    <w:link w:val="11"/>
    <w:semiHidden/>
    <w:qFormat/>
    <w:uiPriority w:val="9"/>
    <w:rPr>
      <w:rFonts w:asciiTheme="majorHAnsi" w:hAnsiTheme="majorHAnsi" w:eastAsiaTheme="majorEastAsia"/>
    </w:rPr>
  </w:style>
  <w:style w:type="character" w:customStyle="1" w:styleId="35">
    <w:name w:val="标题 字符"/>
    <w:basedOn w:val="23"/>
    <w:link w:val="2"/>
    <w:qFormat/>
    <w:uiPriority w:val="10"/>
    <w:rPr>
      <w:rFonts w:asciiTheme="majorHAnsi" w:hAnsiTheme="majorHAnsi" w:eastAsiaTheme="majorEastAsia"/>
      <w:b/>
      <w:bCs/>
      <w:kern w:val="28"/>
      <w:sz w:val="32"/>
      <w:szCs w:val="32"/>
    </w:rPr>
  </w:style>
  <w:style w:type="character" w:customStyle="1" w:styleId="36">
    <w:name w:val="副标题 字符"/>
    <w:basedOn w:val="23"/>
    <w:link w:val="18"/>
    <w:qFormat/>
    <w:uiPriority w:val="11"/>
    <w:rPr>
      <w:rFonts w:asciiTheme="majorHAnsi" w:hAnsiTheme="majorHAnsi" w:eastAsiaTheme="majorEastAsia"/>
      <w:sz w:val="24"/>
      <w:szCs w:val="24"/>
    </w:rPr>
  </w:style>
  <w:style w:type="paragraph" w:styleId="37">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8">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9">
    <w:name w:val="Quote"/>
    <w:basedOn w:val="1"/>
    <w:next w:val="1"/>
    <w:link w:val="40"/>
    <w:qFormat/>
    <w:uiPriority w:val="29"/>
    <w:pPr>
      <w:widowControl/>
      <w:jc w:val="left"/>
    </w:pPr>
    <w:rPr>
      <w:rFonts w:asciiTheme="minorHAnsi" w:hAnsiTheme="minorHAnsi" w:eastAsiaTheme="minorEastAsia"/>
      <w:i/>
      <w:kern w:val="0"/>
      <w:sz w:val="24"/>
    </w:rPr>
  </w:style>
  <w:style w:type="character" w:customStyle="1" w:styleId="40">
    <w:name w:val="引用 字符"/>
    <w:basedOn w:val="23"/>
    <w:link w:val="39"/>
    <w:qFormat/>
    <w:uiPriority w:val="29"/>
    <w:rPr>
      <w:i/>
      <w:sz w:val="24"/>
      <w:szCs w:val="24"/>
    </w:rPr>
  </w:style>
  <w:style w:type="paragraph" w:styleId="41">
    <w:name w:val="Intense Quote"/>
    <w:basedOn w:val="1"/>
    <w:next w:val="1"/>
    <w:link w:val="42"/>
    <w:qFormat/>
    <w:uiPriority w:val="30"/>
    <w:pPr>
      <w:widowControl/>
      <w:ind w:left="720" w:right="720"/>
      <w:jc w:val="left"/>
    </w:pPr>
    <w:rPr>
      <w:rFonts w:asciiTheme="minorHAnsi" w:hAnsiTheme="minorHAnsi" w:eastAsiaTheme="minorEastAsia"/>
      <w:b/>
      <w:i/>
      <w:kern w:val="0"/>
      <w:sz w:val="24"/>
      <w:szCs w:val="22"/>
    </w:rPr>
  </w:style>
  <w:style w:type="character" w:customStyle="1" w:styleId="42">
    <w:name w:val="明显引用 字符"/>
    <w:basedOn w:val="23"/>
    <w:link w:val="41"/>
    <w:qFormat/>
    <w:uiPriority w:val="30"/>
    <w:rPr>
      <w:b/>
      <w:i/>
      <w:sz w:val="24"/>
    </w:rPr>
  </w:style>
  <w:style w:type="character" w:customStyle="1" w:styleId="43">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4">
    <w:name w:val="明显强调1"/>
    <w:basedOn w:val="23"/>
    <w:qFormat/>
    <w:uiPriority w:val="21"/>
    <w:rPr>
      <w:b/>
      <w:i/>
      <w:sz w:val="24"/>
      <w:szCs w:val="24"/>
      <w:u w:val="single"/>
    </w:rPr>
  </w:style>
  <w:style w:type="character" w:customStyle="1" w:styleId="45">
    <w:name w:val="不明显参考1"/>
    <w:basedOn w:val="23"/>
    <w:qFormat/>
    <w:uiPriority w:val="31"/>
    <w:rPr>
      <w:sz w:val="24"/>
      <w:szCs w:val="24"/>
      <w:u w:val="single"/>
    </w:rPr>
  </w:style>
  <w:style w:type="character" w:customStyle="1" w:styleId="46">
    <w:name w:val="明显参考1"/>
    <w:basedOn w:val="23"/>
    <w:qFormat/>
    <w:uiPriority w:val="32"/>
    <w:rPr>
      <w:b/>
      <w:sz w:val="24"/>
      <w:u w:val="single"/>
    </w:rPr>
  </w:style>
  <w:style w:type="character" w:customStyle="1" w:styleId="47">
    <w:name w:val="书籍标题1"/>
    <w:basedOn w:val="23"/>
    <w:qFormat/>
    <w:uiPriority w:val="33"/>
    <w:rPr>
      <w:rFonts w:asciiTheme="majorHAnsi" w:hAnsiTheme="majorHAnsi" w:eastAsiaTheme="majorEastAsia"/>
      <w:b/>
      <w:i/>
      <w:sz w:val="24"/>
      <w:szCs w:val="24"/>
    </w:rPr>
  </w:style>
  <w:style w:type="paragraph" w:customStyle="1" w:styleId="48">
    <w:name w:val="TOC 标题1"/>
    <w:basedOn w:val="3"/>
    <w:next w:val="1"/>
    <w:semiHidden/>
    <w:unhideWhenUsed/>
    <w:qFormat/>
    <w:uiPriority w:val="39"/>
    <w:pPr>
      <w:outlineLvl w:val="9"/>
    </w:pPr>
    <w:rPr>
      <w:lang w:eastAsia="en-US" w:bidi="en-US"/>
    </w:rPr>
  </w:style>
  <w:style w:type="character" w:customStyle="1" w:styleId="49">
    <w:name w:val="页眉 字符"/>
    <w:basedOn w:val="23"/>
    <w:link w:val="17"/>
    <w:qFormat/>
    <w:uiPriority w:val="99"/>
    <w:rPr>
      <w:rFonts w:ascii="Calibri" w:hAnsi="Calibri" w:eastAsia="宋体"/>
      <w:kern w:val="2"/>
      <w:sz w:val="18"/>
      <w:szCs w:val="18"/>
    </w:rPr>
  </w:style>
  <w:style w:type="character" w:customStyle="1" w:styleId="50">
    <w:name w:val="页脚 字符"/>
    <w:basedOn w:val="23"/>
    <w:link w:val="16"/>
    <w:qFormat/>
    <w:uiPriority w:val="99"/>
    <w:rPr>
      <w:rFonts w:ascii="Calibri" w:hAnsi="Calibri" w:eastAsia="宋体"/>
      <w:kern w:val="2"/>
      <w:sz w:val="18"/>
      <w:szCs w:val="18"/>
    </w:rPr>
  </w:style>
  <w:style w:type="character" w:customStyle="1" w:styleId="51">
    <w:name w:val="批注框文本 字符"/>
    <w:basedOn w:val="23"/>
    <w:link w:val="15"/>
    <w:semiHidden/>
    <w:qFormat/>
    <w:uiPriority w:val="99"/>
    <w:rPr>
      <w:rFonts w:ascii="Times New Roman" w:hAnsi="Times New Roman" w:eastAsia="宋体"/>
      <w:kern w:val="2"/>
      <w:sz w:val="18"/>
      <w:szCs w:val="18"/>
    </w:rPr>
  </w:style>
  <w:style w:type="paragraph" w:customStyle="1" w:styleId="52">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3">
    <w:name w:val="fontstyle01"/>
    <w:qFormat/>
    <w:uiPriority w:val="0"/>
    <w:rPr>
      <w:rFonts w:ascii="仿宋_GB2312" w:hAnsi="仿宋_GB2312" w:eastAsia="仿宋_GB2312" w:cs="仿宋_GB2312"/>
      <w:color w:val="000000"/>
      <w:sz w:val="32"/>
      <w:szCs w:val="32"/>
    </w:rPr>
  </w:style>
  <w:style w:type="paragraph" w:customStyle="1" w:styleId="54">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23</Pages>
  <Words>6614</Words>
  <Characters>6896</Characters>
  <Lines>50</Lines>
  <Paragraphs>14</Paragraphs>
  <TotalTime>2</TotalTime>
  <ScaleCrop>false</ScaleCrop>
  <LinksUpToDate>false</LinksUpToDate>
  <CharactersWithSpaces>6915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2020-07-08T00:35:00Z</dcterms:created>
  <dc:creator>赵 恺（预算处）</dc:creator>
  <cp:lastModifiedBy>Slivia</cp:lastModifiedBy>
  <cp:lastPrinted>2020-01-04T00:02:00Z</cp:lastPrinted>
  <dcterms:modified xsi:type="dcterms:W3CDTF">2025-08-27T09:47:46Z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6C2DBD04F0A74C6AB4F3F40FFE60167B_13</vt:lpwstr>
  </property>
  <property fmtid="{D5CDD505-2E9C-101B-9397-08002B2CF9AE}" pid="4" name="KSOSaveFontToCloudKey">
    <vt:lpwstr>0_btnclosed</vt:lpwstr>
  </property>
  <property fmtid="{D5CDD505-2E9C-101B-9397-08002B2CF9AE}" pid="5" name="KSOTemplateDocerSaveRecord">
    <vt:lpwstr>eyJoZGlkIjoiZGM4Y2ExNDA0MjdkYTk1NTY2NzM4YTExNWYxN2IxZmMiLCJ1c2VySWQiOiIzMjM2NTI0MzUifQ==</vt:lpwstr>
  </property>
</Properties>
</file>