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F422C">
      <w:pPr>
        <w:spacing w:line="540" w:lineRule="exact"/>
        <w:jc w:val="center"/>
        <w:rPr>
          <w:rFonts w:hint="default" w:ascii="Times New Roman" w:hAnsi="Times New Roman" w:eastAsia="华文中宋" w:cs="Times New Roman"/>
          <w:b/>
          <w:kern w:val="0"/>
          <w:sz w:val="52"/>
          <w:szCs w:val="52"/>
        </w:rPr>
      </w:pPr>
    </w:p>
    <w:p w14:paraId="181E0620">
      <w:pPr>
        <w:spacing w:line="540" w:lineRule="exact"/>
        <w:rPr>
          <w:rFonts w:hint="default" w:ascii="Times New Roman" w:hAnsi="Times New Roman" w:eastAsia="华文中宋" w:cs="Times New Roman"/>
          <w:b/>
          <w:kern w:val="0"/>
          <w:sz w:val="52"/>
          <w:szCs w:val="52"/>
        </w:rPr>
      </w:pPr>
    </w:p>
    <w:p w14:paraId="51DBF1FC">
      <w:pPr>
        <w:spacing w:line="540" w:lineRule="exact"/>
        <w:jc w:val="center"/>
        <w:rPr>
          <w:rFonts w:hint="default" w:ascii="Times New Roman" w:hAnsi="Times New Roman" w:eastAsia="华文中宋" w:cs="Times New Roman"/>
          <w:b/>
          <w:kern w:val="0"/>
          <w:sz w:val="52"/>
          <w:szCs w:val="52"/>
        </w:rPr>
      </w:pPr>
    </w:p>
    <w:p w14:paraId="24EAB05D">
      <w:pPr>
        <w:spacing w:line="540" w:lineRule="exact"/>
        <w:jc w:val="center"/>
        <w:rPr>
          <w:rFonts w:hint="default" w:ascii="Times New Roman" w:hAnsi="Times New Roman" w:eastAsia="华文中宋" w:cs="Times New Roman"/>
          <w:b/>
          <w:kern w:val="0"/>
          <w:sz w:val="52"/>
          <w:szCs w:val="52"/>
        </w:rPr>
      </w:pPr>
    </w:p>
    <w:p w14:paraId="0FF45B0B">
      <w:pPr>
        <w:spacing w:line="540" w:lineRule="exact"/>
        <w:jc w:val="center"/>
        <w:rPr>
          <w:rFonts w:hint="eastAsia" w:eastAsia="方正小标宋_GBK" w:cs="Times New Roman"/>
          <w:kern w:val="0"/>
          <w:sz w:val="48"/>
          <w:szCs w:val="48"/>
          <w:lang w:eastAsia="zh-CN"/>
        </w:rPr>
      </w:pPr>
      <w:r>
        <w:rPr>
          <w:rFonts w:hint="eastAsia" w:eastAsia="方正小标宋_GBK" w:cs="Times New Roman"/>
          <w:kern w:val="0"/>
          <w:sz w:val="48"/>
          <w:szCs w:val="48"/>
          <w:lang w:eastAsia="zh-CN"/>
        </w:rPr>
        <w:t>食盐专营管理和专业化监管能力建设</w:t>
      </w:r>
    </w:p>
    <w:p w14:paraId="247612E4">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0E4474A9">
      <w:pPr>
        <w:spacing w:line="540" w:lineRule="exact"/>
        <w:jc w:val="center"/>
        <w:rPr>
          <w:rFonts w:hint="default" w:ascii="Times New Roman" w:hAnsi="Times New Roman" w:eastAsia="华文中宋" w:cs="Times New Roman"/>
          <w:b/>
          <w:kern w:val="0"/>
          <w:sz w:val="52"/>
          <w:szCs w:val="52"/>
        </w:rPr>
      </w:pPr>
    </w:p>
    <w:p w14:paraId="74D2FE56">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2DCF2C6">
      <w:pPr>
        <w:spacing w:line="540" w:lineRule="exact"/>
        <w:jc w:val="center"/>
        <w:rPr>
          <w:rFonts w:hint="default" w:ascii="Times New Roman" w:hAnsi="Times New Roman" w:eastAsia="仿宋_GB2312" w:cs="Times New Roman"/>
          <w:kern w:val="0"/>
          <w:sz w:val="30"/>
          <w:szCs w:val="30"/>
        </w:rPr>
      </w:pPr>
    </w:p>
    <w:p w14:paraId="6901CEB3">
      <w:pPr>
        <w:spacing w:line="540" w:lineRule="exact"/>
        <w:jc w:val="center"/>
        <w:rPr>
          <w:rFonts w:hint="default" w:ascii="Times New Roman" w:hAnsi="Times New Roman" w:eastAsia="仿宋_GB2312" w:cs="Times New Roman"/>
          <w:kern w:val="0"/>
          <w:sz w:val="30"/>
          <w:szCs w:val="30"/>
        </w:rPr>
      </w:pPr>
    </w:p>
    <w:p w14:paraId="103DE361">
      <w:pPr>
        <w:spacing w:line="540" w:lineRule="exact"/>
        <w:jc w:val="center"/>
        <w:rPr>
          <w:rFonts w:hint="default" w:ascii="Times New Roman" w:hAnsi="Times New Roman" w:eastAsia="仿宋_GB2312" w:cs="Times New Roman"/>
          <w:kern w:val="0"/>
          <w:sz w:val="30"/>
          <w:szCs w:val="30"/>
        </w:rPr>
      </w:pPr>
    </w:p>
    <w:p w14:paraId="0C0CFDAF">
      <w:pPr>
        <w:pStyle w:val="11"/>
        <w:rPr>
          <w:rFonts w:hint="default" w:ascii="Times New Roman" w:hAnsi="Times New Roman" w:cs="Times New Roman"/>
        </w:rPr>
      </w:pPr>
    </w:p>
    <w:p w14:paraId="17981C7C">
      <w:pPr>
        <w:spacing w:line="540" w:lineRule="exact"/>
        <w:jc w:val="center"/>
        <w:rPr>
          <w:rFonts w:hint="default" w:ascii="Times New Roman" w:hAnsi="Times New Roman" w:eastAsia="仿宋_GB2312" w:cs="Times New Roman"/>
          <w:kern w:val="0"/>
          <w:sz w:val="30"/>
          <w:szCs w:val="30"/>
        </w:rPr>
      </w:pPr>
    </w:p>
    <w:p w14:paraId="0D519E1F">
      <w:pPr>
        <w:spacing w:line="540" w:lineRule="exact"/>
        <w:rPr>
          <w:rFonts w:hint="default" w:ascii="Times New Roman" w:hAnsi="Times New Roman" w:eastAsia="仿宋_GB2312" w:cs="Times New Roman"/>
          <w:kern w:val="0"/>
          <w:sz w:val="30"/>
          <w:szCs w:val="30"/>
        </w:rPr>
      </w:pPr>
    </w:p>
    <w:p w14:paraId="2711F272">
      <w:pPr>
        <w:spacing w:line="700" w:lineRule="exact"/>
        <w:ind w:firstLine="360" w:firstLineChars="1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项目名称：食盐专营管理和专业化监管能力建设</w:t>
      </w:r>
      <w:r>
        <w:rPr>
          <w:rFonts w:hint="eastAsia" w:eastAsia="仿宋_GB2312" w:cs="Times New Roman"/>
          <w:kern w:val="0"/>
          <w:sz w:val="36"/>
          <w:szCs w:val="36"/>
          <w:lang w:val="en-US" w:eastAsia="zh-CN"/>
        </w:rPr>
        <w:t>项目</w:t>
      </w:r>
    </w:p>
    <w:p w14:paraId="09274CDE">
      <w:pPr>
        <w:spacing w:line="700" w:lineRule="exact"/>
        <w:ind w:firstLine="360" w:firstLineChars="1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自治区工业和信息化厅</w:t>
      </w:r>
    </w:p>
    <w:p w14:paraId="4EF4CE88">
      <w:pPr>
        <w:spacing w:line="700" w:lineRule="exact"/>
        <w:ind w:firstLine="360" w:firstLineChars="1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刘新星</w:t>
      </w:r>
    </w:p>
    <w:p w14:paraId="7137AF12">
      <w:pPr>
        <w:spacing w:line="700" w:lineRule="exact"/>
        <w:ind w:firstLine="360" w:firstLineChars="1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15</w:t>
      </w:r>
      <w:r>
        <w:rPr>
          <w:rFonts w:hint="default" w:ascii="Times New Roman" w:hAnsi="Times New Roman" w:eastAsia="仿宋_GB2312" w:cs="Times New Roman"/>
          <w:kern w:val="0"/>
          <w:sz w:val="36"/>
          <w:szCs w:val="36"/>
        </w:rPr>
        <w:t>日</w:t>
      </w:r>
    </w:p>
    <w:p w14:paraId="399E0109">
      <w:pPr>
        <w:spacing w:line="540" w:lineRule="exact"/>
        <w:jc w:val="center"/>
        <w:rPr>
          <w:rFonts w:hint="default" w:ascii="Times New Roman" w:hAnsi="Times New Roman" w:eastAsia="仿宋_GB2312" w:cs="Times New Roman"/>
          <w:kern w:val="0"/>
          <w:sz w:val="30"/>
          <w:szCs w:val="30"/>
        </w:rPr>
      </w:pPr>
    </w:p>
    <w:p w14:paraId="302A0D40">
      <w:pPr>
        <w:spacing w:line="540" w:lineRule="exact"/>
        <w:rPr>
          <w:rStyle w:val="17"/>
          <w:rFonts w:hint="default" w:ascii="Times New Roman" w:hAnsi="Times New Roman" w:eastAsia="黑体" w:cs="Times New Roman"/>
          <w:b w:val="0"/>
          <w:spacing w:val="-4"/>
          <w:sz w:val="32"/>
          <w:szCs w:val="32"/>
        </w:rPr>
      </w:pPr>
    </w:p>
    <w:p w14:paraId="7033BD49">
      <w:pPr>
        <w:spacing w:line="540" w:lineRule="exact"/>
        <w:ind w:firstLine="640"/>
        <w:rPr>
          <w:rStyle w:val="17"/>
          <w:rFonts w:hint="default" w:ascii="Times New Roman" w:hAnsi="Times New Roman" w:eastAsia="黑体" w:cs="Times New Roman"/>
          <w:b w:val="0"/>
          <w:spacing w:val="-4"/>
          <w:sz w:val="32"/>
          <w:szCs w:val="32"/>
        </w:rPr>
      </w:pPr>
    </w:p>
    <w:p w14:paraId="0DF8D4FE">
      <w:pPr>
        <w:spacing w:line="540" w:lineRule="exact"/>
        <w:rPr>
          <w:rStyle w:val="17"/>
          <w:rFonts w:hint="default" w:ascii="Times New Roman" w:hAnsi="Times New Roman" w:eastAsia="黑体" w:cs="Times New Roman"/>
          <w:b w:val="0"/>
          <w:spacing w:val="-4"/>
          <w:sz w:val="32"/>
          <w:szCs w:val="32"/>
        </w:rPr>
      </w:pPr>
    </w:p>
    <w:p w14:paraId="49B0414F">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4809B2A">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E12C81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699C06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600D8357">
      <w:pPr>
        <w:spacing w:line="560" w:lineRule="exact"/>
        <w:ind w:firstLine="600" w:firstLineChars="200"/>
        <w:rPr>
          <w:rFonts w:hint="eastAsia" w:eastAsia="仿宋_GB2312" w:cs="Times New Roman"/>
          <w:sz w:val="30"/>
          <w:szCs w:val="30"/>
          <w:highlight w:val="none"/>
          <w:lang w:val="en-US" w:eastAsia="zh-CN"/>
        </w:rPr>
      </w:pPr>
      <w:r>
        <w:rPr>
          <w:rFonts w:hint="eastAsia" w:eastAsia="仿宋_GB2312" w:cs="Times New Roman"/>
          <w:sz w:val="30"/>
          <w:szCs w:val="30"/>
          <w:highlight w:val="none"/>
          <w:lang w:val="en-US" w:eastAsia="zh-CN"/>
        </w:rPr>
        <w:t xml:space="preserve"> 以习近平法治思想为指引，贯彻落实《食盐专营办法》(中华人民共和国国务院令 第696号）《食盐定点企业规范条件》《食盐定点企业规范管理办法》（中华人民共和国工和信息化部公告 2023年 第20号）等食盐管理的相关规章，加强学习注重实践应用，不断提升运用法治思维、法治方式加强食盐专营管理和专业化监管能力和水平，以适应新时代的要求，保障消费者权益，维护食盐经营市场健康运行和行业可持续发展。</w:t>
      </w:r>
    </w:p>
    <w:p w14:paraId="649A7DD1">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79B6223E">
      <w:pPr>
        <w:spacing w:line="560" w:lineRule="exact"/>
        <w:ind w:firstLine="600" w:firstLineChars="200"/>
        <w:rPr>
          <w:rFonts w:hint="eastAsia" w:ascii="Times New Roman" w:hAnsi="Times New Roman" w:eastAsia="宋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举办自治区食盐专营能力培训，规范未加碘小包装食盐供应渠道</w:t>
      </w:r>
      <w:r>
        <w:rPr>
          <w:rFonts w:hint="eastAsia"/>
          <w:lang w:eastAsia="zh-CN"/>
        </w:rPr>
        <w:t>。</w:t>
      </w:r>
    </w:p>
    <w:p w14:paraId="587C04F8">
      <w:pPr>
        <w:spacing w:line="560" w:lineRule="exact"/>
        <w:ind w:firstLine="600" w:firstLineChars="200"/>
        <w:rPr>
          <w:rFonts w:hint="eastAsia" w:ascii="Times New Roman" w:hAnsi="Times New Roman" w:eastAsia="宋体" w:cs="Times New Roman"/>
          <w:lang w:eastAsia="zh-C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成功举办</w:t>
      </w:r>
      <w:r>
        <w:rPr>
          <w:rFonts w:hint="eastAsia" w:eastAsia="仿宋_GB2312" w:cs="Times New Roman"/>
          <w:sz w:val="30"/>
          <w:szCs w:val="30"/>
          <w:highlight w:val="none"/>
          <w:lang w:val="en-US" w:eastAsia="zh-CN"/>
        </w:rPr>
        <w:t>自治区食盐专营能力培训班，进一步规范了未加碘小包装食盐供应渠道</w:t>
      </w:r>
      <w:r>
        <w:rPr>
          <w:rFonts w:hint="eastAsia"/>
          <w:lang w:eastAsia="zh-CN"/>
        </w:rPr>
        <w:t>。</w:t>
      </w:r>
    </w:p>
    <w:p w14:paraId="1046164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0007DD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622A56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4A2D71D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8BEAF1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4.54</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4.3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94.71</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举办</w:t>
      </w:r>
      <w:r>
        <w:rPr>
          <w:rFonts w:hint="eastAsia" w:ascii="仿宋_GB2312" w:hAnsi="宋体" w:eastAsia="仿宋_GB2312" w:cs="仿宋_GB2312"/>
          <w:i w:val="0"/>
          <w:iCs w:val="0"/>
          <w:caps w:val="0"/>
          <w:color w:val="000000"/>
          <w:spacing w:val="0"/>
          <w:sz w:val="32"/>
          <w:szCs w:val="32"/>
          <w:shd w:val="clear" w:color="auto" w:fill="FFFFFF"/>
          <w:lang w:val="en-US" w:eastAsia="zh-CN"/>
        </w:rPr>
        <w:t>自治区工信厅举办全区食盐专营管理和专业化监管能力建设</w:t>
      </w:r>
      <w:r>
        <w:rPr>
          <w:rFonts w:hint="default" w:ascii="Times New Roman" w:hAnsi="Times New Roman" w:eastAsia="仿宋_GB2312" w:cs="Times New Roman"/>
          <w:sz w:val="32"/>
          <w:szCs w:val="32"/>
          <w:highlight w:val="none"/>
          <w:lang w:val="en-US" w:eastAsia="zh-CN"/>
        </w:rPr>
        <w:t>。</w:t>
      </w:r>
    </w:p>
    <w:p w14:paraId="4930054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AA87D4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FB3B1F7">
      <w:pPr>
        <w:spacing w:line="560" w:lineRule="exact"/>
        <w:ind w:firstLine="600" w:firstLineChars="200"/>
        <w:rPr>
          <w:rFonts w:hint="default" w:ascii="Times New Roman" w:hAnsi="Times New Roman" w:eastAsia="黑体" w:cs="Times New Roman"/>
          <w:highlight w:val="yellow"/>
          <w:lang w:eastAsia="zh-CN"/>
        </w:rPr>
      </w:pPr>
      <w:r>
        <w:rPr>
          <w:rFonts w:hint="eastAsia" w:eastAsia="仿宋_GB2312" w:cs="Times New Roman"/>
          <w:sz w:val="30"/>
          <w:szCs w:val="30"/>
          <w:highlight w:val="none"/>
          <w:lang w:val="en-US" w:eastAsia="zh-CN"/>
        </w:rPr>
        <w:t>举办自治区食盐专用能力培训，规范未加碘小包装食盐供应渠道</w:t>
      </w:r>
    </w:p>
    <w:p w14:paraId="0B49FACA">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eastAsia="zh-CN"/>
        </w:rPr>
        <w:t>：</w:t>
      </w:r>
      <w:r>
        <w:rPr>
          <w:rFonts w:hint="eastAsia" w:eastAsia="仿宋_GB2312" w:cs="Times New Roman"/>
          <w:sz w:val="32"/>
          <w:szCs w:val="32"/>
          <w:highlight w:val="none"/>
          <w:lang w:val="en-US" w:eastAsia="zh-CN"/>
        </w:rPr>
        <w:t>举办</w:t>
      </w:r>
      <w:r>
        <w:rPr>
          <w:rFonts w:hint="eastAsia" w:ascii="仿宋_GB2312" w:hAnsi="宋体" w:eastAsia="仿宋_GB2312" w:cs="仿宋_GB2312"/>
          <w:i w:val="0"/>
          <w:iCs w:val="0"/>
          <w:caps w:val="0"/>
          <w:color w:val="000000"/>
          <w:spacing w:val="0"/>
          <w:sz w:val="32"/>
          <w:szCs w:val="32"/>
          <w:shd w:val="clear" w:color="auto" w:fill="FFFFFF"/>
          <w:lang w:val="en-US" w:eastAsia="zh-CN"/>
        </w:rPr>
        <w:t>自治区工信厅举办全区食盐专营管理和专业化监管能力建设培训班</w:t>
      </w:r>
      <w:r>
        <w:rPr>
          <w:rFonts w:hint="eastAsia" w:eastAsia="仿宋_GB2312" w:cs="Times New Roman"/>
          <w:sz w:val="32"/>
          <w:szCs w:val="32"/>
          <w:highlight w:val="none"/>
          <w:lang w:val="en-US" w:eastAsia="zh-CN"/>
        </w:rPr>
        <w:t>，</w:t>
      </w:r>
      <w:r>
        <w:rPr>
          <w:rFonts w:hint="eastAsia" w:ascii="仿宋_GB2312" w:hAnsi="宋体" w:eastAsia="仿宋_GB2312" w:cs="仿宋_GB2312"/>
          <w:i w:val="0"/>
          <w:iCs w:val="0"/>
          <w:caps w:val="0"/>
          <w:color w:val="000000"/>
          <w:spacing w:val="0"/>
          <w:sz w:val="32"/>
          <w:szCs w:val="32"/>
          <w:shd w:val="clear" w:color="auto" w:fill="FFFFFF"/>
          <w:lang w:val="en-US" w:eastAsia="zh-CN"/>
        </w:rPr>
        <w:t>提升运用法治思维和方式加强食盐专营治理的能力和水平。</w:t>
      </w:r>
      <w:r>
        <w:rPr>
          <w:rFonts w:hint="eastAsia" w:eastAsia="仿宋_GB2312" w:cs="Times New Roman"/>
          <w:sz w:val="30"/>
          <w:szCs w:val="30"/>
          <w:highlight w:val="none"/>
          <w:lang w:val="en-US" w:eastAsia="zh-CN"/>
        </w:rPr>
        <w:t>进一步规范未加碘小包装食盐供应渠道，保障特殊人群对未加碘小包装食盐消费需求。</w:t>
      </w:r>
    </w:p>
    <w:p w14:paraId="781E26B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0D15FC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2922A14">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BBDBD9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EAB323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56C2A05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ED53AC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CDB5BD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E233F1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24EF61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F88B0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14:paraId="0AA02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57E8F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FAA54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46E7D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54014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22A9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7D362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804F2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116DC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70E7E90">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20EF867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本项目预算绩效评价报告的评价对象是食盐专营管理和专业化监管能力建设及其预算执行情况。该项目由</w:t>
      </w:r>
      <w:r>
        <w:rPr>
          <w:rFonts w:hint="eastAsia" w:ascii="Times New Roman" w:hAnsi="Times New Roman" w:eastAsia="仿宋_GB2312" w:cs="Times New Roman"/>
          <w:b w:val="0"/>
          <w:bCs w:val="0"/>
          <w:highlight w:val="none"/>
          <w:lang w:eastAsia="zh-CN"/>
        </w:rPr>
        <w:t>消费品工业处</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highlight w:val="none"/>
          <w:lang w:val="en-US" w:eastAsia="zh-CN"/>
        </w:rPr>
        <w:t>举办全区食盐专营管理和专业化监管能力建设培训班。项目预算涵盖从</w:t>
      </w:r>
      <w:r>
        <w:rPr>
          <w:rFonts w:hint="eastAsia" w:ascii="Times New Roman" w:hAnsi="Times New Roman" w:eastAsia="仿宋_GB2312" w:cs="Times New Roman"/>
          <w:b w:val="0"/>
          <w:bCs w:val="0"/>
          <w:highlight w:val="none"/>
          <w:lang w:val="en-US" w:eastAsia="zh-CN"/>
        </w:rPr>
        <w:t>2024年4月1日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2024年9月30日</w:t>
      </w:r>
      <w:r>
        <w:rPr>
          <w:rFonts w:hint="default" w:ascii="Times New Roman" w:hAnsi="Times New Roman" w:eastAsia="仿宋_GB2312" w:cs="Times New Roman"/>
          <w:b w:val="0"/>
          <w:bCs w:val="0"/>
          <w:highlight w:val="none"/>
          <w:lang w:val="en-US" w:eastAsia="zh-CN"/>
        </w:rPr>
        <w:t>的全</w:t>
      </w:r>
      <w:r>
        <w:rPr>
          <w:rFonts w:hint="default" w:ascii="Times New Roman" w:hAnsi="Times New Roman" w:eastAsia="仿宋_GB2312" w:cs="Times New Roman"/>
          <w:b w:val="0"/>
          <w:bCs w:val="0"/>
          <w:highlight w:val="none"/>
        </w:rPr>
        <w:t>部资金投入与支出，涉及资金总额为</w:t>
      </w:r>
      <w:r>
        <w:rPr>
          <w:rFonts w:hint="eastAsia" w:ascii="Times New Roman" w:hAnsi="Times New Roman" w:eastAsia="仿宋_GB2312" w:cs="Times New Roman"/>
          <w:b w:val="0"/>
          <w:bCs w:val="0"/>
          <w:highlight w:val="none"/>
          <w:lang w:val="en-US" w:eastAsia="zh-CN"/>
        </w:rPr>
        <w:t>4.3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66A73A2E">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3D88E72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6463976">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52813032">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6881232">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A6CC9FB">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29DD368">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567C567F">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8B5726B">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99819D3">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EB24EE6">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8439813">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CDB464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4846AED4">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F6E6B1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6E6A570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B0F940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F3A8529">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995312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6BB7EA5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081C38E4">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6B6E910">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2ADF0B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52FE7AA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A8B242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E845C4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15E8380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35673B8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239BA68C">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9E870DF">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highlight w:val="none"/>
          <w:lang w:val="en-US" w:eastAsia="zh-CN"/>
        </w:rPr>
        <w:t>计划标准</w:t>
      </w:r>
      <w:r>
        <w:rPr>
          <w:rFonts w:hint="eastAsia" w:ascii="Times New Roman" w:hAnsi="Times New Roman" w:eastAsia="仿宋_GB2312" w:cs="Times New Roman"/>
          <w:b w:val="0"/>
          <w:bCs w:val="0"/>
          <w:highlight w:val="none"/>
          <w:lang w:val="en-US" w:eastAsia="zh-CN"/>
        </w:rPr>
        <w:t>、预算支出标准</w:t>
      </w:r>
      <w:r>
        <w:rPr>
          <w:rFonts w:hint="default" w:ascii="Times New Roman" w:hAnsi="Times New Roman" w:eastAsia="仿宋_GB2312" w:cs="Times New Roman"/>
          <w:b w:val="0"/>
          <w:bCs w:val="0"/>
          <w:highlight w:val="none"/>
        </w:rPr>
        <w:t>。</w:t>
      </w:r>
    </w:p>
    <w:p w14:paraId="1D35F71A">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82CEF17">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0BA1F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4CD696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2ABDCB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3BDB1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13A9C8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96F2B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1D8CB0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6DE11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907A9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5690E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291C7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27EF92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B4066E3">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BEDF9E4">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71B6E16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食盐专营管理和专业化监管能力建设</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培训内容</w:t>
      </w:r>
      <w:r>
        <w:rPr>
          <w:rFonts w:hint="default" w:ascii="Times New Roman" w:hAnsi="Times New Roman" w:eastAsia="仿宋_GB2312" w:cs="Times New Roman"/>
          <w:sz w:val="32"/>
          <w:szCs w:val="32"/>
          <w:highlight w:val="none"/>
        </w:rPr>
        <w:t>等方面表现出色，达到了预期的标准与要求。同时，项目也在</w:t>
      </w:r>
      <w:r>
        <w:rPr>
          <w:rFonts w:hint="default" w:ascii="Times New Roman" w:hAnsi="Times New Roman" w:eastAsia="仿宋_GB2312" w:cs="Times New Roman"/>
          <w:color w:val="auto"/>
          <w:sz w:val="32"/>
          <w:szCs w:val="32"/>
          <w:highlight w:val="none"/>
        </w:rPr>
        <w:t>专</w:t>
      </w:r>
      <w:r>
        <w:rPr>
          <w:rFonts w:hint="eastAsia" w:eastAsia="仿宋_GB2312" w:cs="Times New Roman"/>
          <w:color w:val="auto"/>
          <w:sz w:val="32"/>
          <w:szCs w:val="32"/>
          <w:highlight w:val="none"/>
          <w:lang w:eastAsia="zh-CN"/>
        </w:rPr>
        <w:t>营</w:t>
      </w:r>
      <w:r>
        <w:rPr>
          <w:rFonts w:hint="default" w:ascii="Times New Roman" w:hAnsi="Times New Roman" w:eastAsia="仿宋_GB2312" w:cs="Times New Roman"/>
          <w:color w:val="auto"/>
          <w:sz w:val="32"/>
          <w:szCs w:val="32"/>
          <w:highlight w:val="none"/>
        </w:rPr>
        <w:t>管理和专营化监管能力</w:t>
      </w:r>
      <w:r>
        <w:rPr>
          <w:rFonts w:hint="default" w:ascii="Times New Roman" w:hAnsi="Times New Roman" w:eastAsia="仿宋_GB2312" w:cs="Times New Roman"/>
          <w:sz w:val="32"/>
          <w:szCs w:val="32"/>
          <w:highlight w:val="none"/>
        </w:rPr>
        <w:t>取得了显著的成效，如通过组织各地州市工信部门人员，盐业执法队伍专业度得到提高，工作能力得到增强等。</w:t>
      </w:r>
    </w:p>
    <w:p w14:paraId="313208E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消费品工业处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387B2596">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ascii="仿宋_GB2312" w:hAnsi="宋体" w:eastAsia="仿宋_GB2312" w:cs="仿宋_GB2312"/>
          <w:i w:val="0"/>
          <w:iCs w:val="0"/>
          <w:caps w:val="0"/>
          <w:color w:val="000000"/>
          <w:spacing w:val="0"/>
          <w:sz w:val="32"/>
          <w:szCs w:val="32"/>
          <w:shd w:val="clear" w:color="auto" w:fill="FFFFFF"/>
          <w:lang w:val="en-US" w:eastAsia="zh-CN"/>
        </w:rPr>
        <w:t>以习近平法治思想为指引，贯彻落实《食盐专营办法》等食盐管理的相关规章，</w:t>
      </w:r>
      <w:r>
        <w:rPr>
          <w:rFonts w:hint="eastAsia" w:ascii="仿宋_GB2312" w:hAnsi="宋体" w:eastAsia="仿宋_GB2312" w:cs="仿宋_GB2312"/>
          <w:i w:val="0"/>
          <w:iCs w:val="0"/>
          <w:caps w:val="0"/>
          <w:color w:val="000000"/>
          <w:spacing w:val="0"/>
          <w:sz w:val="32"/>
          <w:szCs w:val="32"/>
          <w:shd w:val="clear" w:color="auto" w:fill="FFFFFF"/>
          <w:lang w:eastAsia="zh-CN"/>
        </w:rPr>
        <w:t>通过培训，广大干部</w:t>
      </w:r>
      <w:r>
        <w:rPr>
          <w:rFonts w:hint="eastAsia" w:ascii="仿宋_GB2312" w:hAnsi="宋体" w:eastAsia="仿宋_GB2312" w:cs="仿宋_GB2312"/>
          <w:i w:val="0"/>
          <w:iCs w:val="0"/>
          <w:caps w:val="0"/>
          <w:color w:val="000000"/>
          <w:spacing w:val="0"/>
          <w:sz w:val="32"/>
          <w:szCs w:val="32"/>
          <w:shd w:val="clear" w:color="auto" w:fill="FFFFFF"/>
          <w:lang w:val="en-US" w:eastAsia="zh-CN"/>
        </w:rPr>
        <w:t>深刻认识到扎实推进食盐行业依法行政的重大意义，将所学</w:t>
      </w:r>
      <w:r>
        <w:rPr>
          <w:rFonts w:hint="default" w:ascii="仿宋_GB2312" w:hAnsi="宋体" w:eastAsia="仿宋_GB2312" w:cs="仿宋_GB2312"/>
          <w:i w:val="0"/>
          <w:iCs w:val="0"/>
          <w:caps w:val="0"/>
          <w:color w:val="000000"/>
          <w:spacing w:val="0"/>
          <w:sz w:val="32"/>
          <w:szCs w:val="32"/>
          <w:shd w:val="clear" w:color="auto" w:fill="FFFFFF"/>
          <w:lang w:val="en-US" w:eastAsia="zh-CN"/>
        </w:rPr>
        <w:t>转变为推动工作的强大动能，</w:t>
      </w:r>
      <w:r>
        <w:rPr>
          <w:rFonts w:hint="eastAsia" w:ascii="仿宋_GB2312" w:hAnsi="仿宋_GB2312" w:eastAsia="仿宋_GB2312" w:cs="仿宋_GB2312"/>
          <w:sz w:val="32"/>
          <w:szCs w:val="32"/>
          <w:highlight w:val="none"/>
          <w:shd w:val="clear" w:color="auto" w:fill="auto"/>
          <w:lang w:val="en-US" w:eastAsia="zh-CN"/>
        </w:rPr>
        <w:t>不断强化依法治盐、依法实施食盐专营管理。</w:t>
      </w:r>
      <w:r>
        <w:rPr>
          <w:rFonts w:hint="eastAsia" w:ascii="仿宋_GB2312" w:hAnsi="宋体" w:eastAsia="仿宋_GB2312" w:cs="仿宋_GB2312"/>
          <w:i w:val="0"/>
          <w:iCs w:val="0"/>
          <w:caps w:val="0"/>
          <w:color w:val="000000"/>
          <w:spacing w:val="0"/>
          <w:sz w:val="32"/>
          <w:szCs w:val="32"/>
          <w:shd w:val="clear" w:color="auto" w:fill="FFFFFF"/>
          <w:lang w:val="en-US" w:eastAsia="zh-CN"/>
        </w:rPr>
        <w:t>加强学习注重实践应用，不断提升运用法治思维、法治方式加强食盐专营管理和专业化监管能力和水平，</w:t>
      </w:r>
      <w:r>
        <w:rPr>
          <w:rFonts w:hint="eastAsia" w:ascii="仿宋_GB2312" w:hAnsi="仿宋_GB2312" w:eastAsia="仿宋_GB2312" w:cs="仿宋_GB2312"/>
          <w:sz w:val="32"/>
          <w:szCs w:val="32"/>
          <w:highlight w:val="none"/>
          <w:shd w:val="clear" w:color="auto" w:fill="auto"/>
          <w:lang w:val="en-US" w:eastAsia="zh-CN"/>
        </w:rPr>
        <w:t>以法治思维和方式推动管理和服务工作有序开展</w:t>
      </w:r>
      <w:r>
        <w:rPr>
          <w:rFonts w:hint="default" w:ascii="Times New Roman" w:hAnsi="Times New Roman" w:eastAsia="仿宋_GB2312" w:cs="Times New Roman"/>
          <w:sz w:val="32"/>
          <w:szCs w:val="32"/>
          <w:highlight w:val="none"/>
        </w:rPr>
        <w:t>等方面的提升，为项目的利益相关者带来了实实在在的利益。</w:t>
      </w:r>
    </w:p>
    <w:p w14:paraId="41E0BD2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综上所述，食盐专营管理和专业化监管能力建设在绩效评价中表现出色，达到了项目的预期目标，并在多个方面取得了显著的成效。</w:t>
      </w:r>
    </w:p>
    <w:p w14:paraId="5757B7B4">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5F271BA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果：总得分为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分，属于“</w:t>
      </w:r>
      <w:r>
        <w:rPr>
          <w:rFonts w:hint="eastAsia" w:ascii="Times New Roman" w:hAnsi="Times New Roman" w:eastAsia="仿宋_GB2312" w:cs="Times New Roman"/>
          <w:b w:val="0"/>
          <w:bCs w:val="0"/>
          <w:color w:val="000000" w:themeColor="text1"/>
          <w:highlight w:val="none"/>
          <w:shd w:val="clear" w:color="auto" w:fill="auto"/>
          <w:lang w:eastAsia="zh-CN"/>
          <w14:textFill>
            <w14:solidFill>
              <w14:schemeClr w14:val="tx1"/>
            </w14:solidFill>
          </w14:textFill>
        </w:rPr>
        <w:t>优</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”。其中，项目决策类指标权重为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分，得分率为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%。项目过程类指标权重为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分，得分率为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%。项目产出类指标权重为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40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40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分，得分率为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%。项目效益类指标权重为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分，得分率为</w:t>
      </w:r>
      <w:r>
        <w:rPr>
          <w:rFonts w:hint="eastAsia" w:ascii="Times New Roman" w:hAnsi="Times New Roman" w:eastAsia="仿宋_GB2312" w:cs="Times New Roman"/>
          <w:b w:val="0"/>
          <w:bCs w:val="0"/>
          <w:color w:val="000000" w:themeColor="text1"/>
          <w:highlight w:val="none"/>
          <w:shd w:val="clear" w:color="auto" w:fill="auto"/>
          <w:lang w:val="en-US" w:eastAsia="zh-CN"/>
          <w14:textFill>
            <w14:solidFill>
              <w14:schemeClr w14:val="tx1"/>
            </w14:solidFill>
          </w14:textFill>
        </w:rPr>
        <w:t>100</w:t>
      </w:r>
      <w:r>
        <w:rPr>
          <w:rFonts w:hint="default" w:ascii="Times New Roman" w:hAnsi="Times New Roman" w:eastAsia="仿宋_GB2312" w:cs="Times New Roman"/>
          <w:b w:val="0"/>
          <w:bCs w:val="0"/>
          <w:color w:val="000000" w:themeColor="text1"/>
          <w:highlight w:val="none"/>
          <w:shd w:val="clear" w:color="auto" w:fill="auto"/>
          <w14:textFill>
            <w14:solidFill>
              <w14:schemeClr w14:val="tx1"/>
            </w14:solidFill>
          </w14:textFill>
        </w:rPr>
        <w:t>%。具体打</w:t>
      </w:r>
      <w:r>
        <w:rPr>
          <w:rFonts w:hint="default" w:ascii="Times New Roman" w:hAnsi="Times New Roman" w:eastAsia="仿宋_GB2312" w:cs="Times New Roman"/>
          <w:b w:val="0"/>
          <w:bCs w:val="0"/>
        </w:rPr>
        <w:t>分情况详见：附件1综合评分表</w:t>
      </w:r>
      <w:r>
        <w:rPr>
          <w:rFonts w:hint="default" w:ascii="Times New Roman" w:hAnsi="Times New Roman" w:eastAsia="仿宋_GB2312" w:cs="Times New Roman"/>
          <w:b w:val="0"/>
          <w:bCs w:val="0"/>
          <w:lang w:eastAsia="zh-CN"/>
        </w:rPr>
        <w:t>。</w:t>
      </w:r>
    </w:p>
    <w:tbl>
      <w:tblPr>
        <w:tblStyle w:val="15"/>
        <w:tblpPr w:leftFromText="180" w:rightFromText="180" w:vertAnchor="text" w:horzAnchor="page" w:tblpX="2388" w:tblpY="301"/>
        <w:tblOverlap w:val="never"/>
        <w:tblW w:w="7583" w:type="dxa"/>
        <w:tblInd w:w="0" w:type="dxa"/>
        <w:tblLayout w:type="fixed"/>
        <w:tblCellMar>
          <w:top w:w="0" w:type="dxa"/>
          <w:left w:w="108" w:type="dxa"/>
          <w:bottom w:w="0" w:type="dxa"/>
          <w:right w:w="108" w:type="dxa"/>
        </w:tblCellMar>
      </w:tblPr>
      <w:tblGrid>
        <w:gridCol w:w="3137"/>
        <w:gridCol w:w="2168"/>
        <w:gridCol w:w="2278"/>
      </w:tblGrid>
      <w:tr w14:paraId="4FEC9F01">
        <w:tblPrEx>
          <w:tblCellMar>
            <w:top w:w="0" w:type="dxa"/>
            <w:left w:w="108" w:type="dxa"/>
            <w:bottom w:w="0" w:type="dxa"/>
            <w:right w:w="108" w:type="dxa"/>
          </w:tblCellMar>
        </w:tblPrEx>
        <w:trPr>
          <w:trHeight w:val="90" w:hRule="atLeast"/>
          <w:tblHead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2FCBA0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C2ED44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AB8EA0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210FE5BF">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14:paraId="3287F69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0233AC1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3A9CE8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0CAE131E">
        <w:tblPrEx>
          <w:tblCellMar>
            <w:top w:w="0" w:type="dxa"/>
            <w:left w:w="108" w:type="dxa"/>
            <w:bottom w:w="0" w:type="dxa"/>
            <w:right w:w="108" w:type="dxa"/>
          </w:tblCellMar>
        </w:tblPrEx>
        <w:trPr>
          <w:trHeight w:val="432" w:hRule="atLeast"/>
        </w:trPr>
        <w:tc>
          <w:tcPr>
            <w:tcW w:w="3137" w:type="dxa"/>
            <w:tcBorders>
              <w:top w:val="nil"/>
              <w:left w:val="single" w:color="auto" w:sz="4" w:space="0"/>
              <w:bottom w:val="single" w:color="auto" w:sz="4" w:space="0"/>
              <w:right w:val="single" w:color="auto" w:sz="4" w:space="0"/>
            </w:tcBorders>
            <w:shd w:val="clear" w:color="auto" w:fill="auto"/>
            <w:vAlign w:val="center"/>
          </w:tcPr>
          <w:p w14:paraId="35D3BCA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279FEBE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9E1A32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328350DC">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14:paraId="501A104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57EFFA6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0B5299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3737E471">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14:paraId="36EBBB1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5D42D7A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A7292E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1DA6D92">
        <w:tblPrEx>
          <w:tblCellMar>
            <w:top w:w="0" w:type="dxa"/>
            <w:left w:w="108" w:type="dxa"/>
            <w:bottom w:w="0" w:type="dxa"/>
            <w:right w:w="108" w:type="dxa"/>
          </w:tblCellMar>
        </w:tblPrEx>
        <w:trPr>
          <w:trHeight w:val="340" w:hRule="atLeast"/>
        </w:trPr>
        <w:tc>
          <w:tcPr>
            <w:tcW w:w="3137" w:type="dxa"/>
            <w:tcBorders>
              <w:top w:val="nil"/>
              <w:left w:val="single" w:color="auto" w:sz="4" w:space="0"/>
              <w:bottom w:val="single" w:color="auto" w:sz="4" w:space="0"/>
              <w:right w:val="single" w:color="auto" w:sz="4" w:space="0"/>
            </w:tcBorders>
            <w:shd w:val="clear" w:color="auto" w:fill="auto"/>
            <w:vAlign w:val="center"/>
          </w:tcPr>
          <w:p w14:paraId="36EE04C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7163065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8620EE3">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r>
    </w:tbl>
    <w:p w14:paraId="7F924F5A">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1C7B699">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600E365">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DE8CACC">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1AA9418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9E526F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FD26B5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76395C4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3C13897">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215DA90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5287EE8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656D70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576F702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18B8605">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F5DF19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43427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386AA1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D423E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8F31E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DA6AC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F213A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2750B9">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2D2C29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A89023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E03B25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1D32C78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4.54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6738E68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1D2505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94.71</w:t>
      </w:r>
      <w:r>
        <w:rPr>
          <w:rFonts w:hint="default" w:ascii="Times New Roman" w:hAnsi="Times New Roman" w:eastAsia="仿宋_GB2312" w:cs="Times New Roman"/>
          <w:sz w:val="32"/>
          <w:szCs w:val="32"/>
          <w:highlight w:val="none"/>
          <w:lang w:val="en-US" w:eastAsia="zh-CN"/>
        </w:rPr>
        <w:t>%。</w:t>
      </w:r>
    </w:p>
    <w:p w14:paraId="508FCF6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6070E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3FD18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4AE9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18DBCE0">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6DDAD7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3F958C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D665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2BBDC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5FBA59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CA6CB4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D255D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345F3B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FFDF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33FFA40">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6A1333F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504C4DC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4F35506">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指标1：培训课时，指标值：=12课时 ，实际完成值：=12课时，指标完成率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006F4E5">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：评审天数，指标值：=</w:t>
      </w:r>
      <w:r>
        <w:rPr>
          <w:rFonts w:hint="eastAsia" w:eastAsia="仿宋_GB2312" w:cs="Times New Roman"/>
          <w:sz w:val="32"/>
          <w:szCs w:val="32"/>
          <w:highlight w:val="none"/>
          <w:lang w:val="en-US" w:eastAsia="zh-CN"/>
        </w:rPr>
        <w:t>4天</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4天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4CEC921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：评审出合格供应企业，指标值：&gt;=1家 ，实际完成值：=</w:t>
      </w:r>
      <w:r>
        <w:rPr>
          <w:rFonts w:hint="eastAsia" w:eastAsia="仿宋_GB2312" w:cs="Times New Roman"/>
          <w:sz w:val="32"/>
          <w:szCs w:val="32"/>
          <w:highlight w:val="none"/>
          <w:lang w:val="en-US" w:eastAsia="zh-CN"/>
        </w:rPr>
        <w:t>7家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700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实际符合遴选资格企业多余预计</w:t>
      </w:r>
      <w:r>
        <w:rPr>
          <w:rFonts w:hint="default" w:ascii="Times New Roman" w:hAnsi="Times New Roman" w:eastAsia="仿宋_GB2312" w:cs="Times New Roman"/>
          <w:sz w:val="32"/>
          <w:szCs w:val="32"/>
          <w:highlight w:val="none"/>
          <w:lang w:eastAsia="zh-CN"/>
        </w:rPr>
        <w:t>。</w:t>
      </w:r>
    </w:p>
    <w:p w14:paraId="276C89A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：培训合格率，指标值：&gt;=</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 ，实际完成值：=</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4DCFF20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0998101">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：培训资金成本，指标值：=1.20万元 ，实际完成值：=1.</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rPr>
        <w:t>万元 ，指标完成率</w:t>
      </w:r>
      <w:r>
        <w:rPr>
          <w:rFonts w:hint="eastAsia" w:eastAsia="仿宋_GB2312" w:cs="Times New Roman"/>
          <w:sz w:val="32"/>
          <w:szCs w:val="32"/>
          <w:highlight w:val="none"/>
          <w:lang w:val="en-US" w:eastAsia="zh-CN"/>
        </w:rPr>
        <w:t>98.34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，偏差原因：培训老师课时费低于预计，节约部分成本。</w:t>
      </w:r>
    </w:p>
    <w:p w14:paraId="3AD8354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：评审资金成本，指标值：=</w:t>
      </w:r>
      <w:r>
        <w:rPr>
          <w:rFonts w:hint="eastAsia" w:eastAsia="仿宋_GB2312" w:cs="Times New Roman"/>
          <w:sz w:val="32"/>
          <w:szCs w:val="32"/>
          <w:highlight w:val="none"/>
          <w:lang w:val="en-US" w:eastAsia="zh-CN"/>
        </w:rPr>
        <w:t>3.34</w:t>
      </w:r>
      <w:r>
        <w:rPr>
          <w:rFonts w:hint="default" w:ascii="Times New Roman" w:hAnsi="Times New Roman" w:eastAsia="仿宋_GB2312" w:cs="Times New Roman"/>
          <w:sz w:val="32"/>
          <w:szCs w:val="32"/>
          <w:highlight w:val="none"/>
        </w:rPr>
        <w:t>万元 ，实际完成值：=</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93.42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，偏差原因：评审老师品评审费低于预计，节约部分成本。</w:t>
      </w:r>
    </w:p>
    <w:p w14:paraId="50278578">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E95ED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577C2B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2412DCA4">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3F3F90A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指标1：规范供应渠道，保障特殊人群消费需求</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p>
    <w:p w14:paraId="264D16C0">
      <w:pPr>
        <w:shd w:val="clear"/>
        <w:spacing w:line="600" w:lineRule="exact"/>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持续提升</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31EEE1E">
      <w:pPr>
        <w:shd w:val="clear"/>
        <w:spacing w:line="600" w:lineRule="exact"/>
        <w:ind w:firstLine="640" w:firstLineChars="200"/>
        <w:outlineLvl w:val="0"/>
        <w:rPr>
          <w:rFonts w:hint="default"/>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：提高专用管理和专营化监管能力，保障供给安全</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持续提高</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bookmarkStart w:id="3" w:name="_GoBack"/>
      <w:bookmarkEnd w:id="3"/>
    </w:p>
    <w:p w14:paraId="2B6285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65856B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参加能力提升学员满意度</w:t>
      </w:r>
      <w:r>
        <w:rPr>
          <w:rFonts w:hint="default" w:ascii="Times New Roman" w:hAnsi="Times New Roman" w:eastAsia="仿宋_GB2312" w:cs="Times New Roman"/>
          <w:sz w:val="32"/>
          <w:szCs w:val="32"/>
          <w:highlight w:val="none"/>
        </w:rPr>
        <w:t>指标值：</w:t>
      </w:r>
      <w:r>
        <w:rPr>
          <w:rFonts w:hint="eastAsia" w:ascii="东文宋体" w:hAnsi="东文宋体" w:eastAsia="东文宋体" w:cs="东文宋体"/>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734F1DA">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3C05CA8E">
      <w:pPr>
        <w:pStyle w:val="20"/>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食盐专营管理和专业化监管能力建设</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4.54</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4.54</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4.3</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94.71</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165.75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65.75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（不考虑正向偏差值，完成率为</w:t>
      </w:r>
      <w:r>
        <w:rPr>
          <w:rFonts w:hint="eastAsia" w:ascii="仿宋_GB2312" w:hAnsi="仿宋_GB2312" w:eastAsia="仿宋_GB2312" w:cs="仿宋_GB2312"/>
          <w:b w:val="0"/>
          <w:bCs w:val="0"/>
          <w:sz w:val="32"/>
          <w:szCs w:val="32"/>
          <w:highlight w:val="none"/>
          <w:lang w:val="en-US" w:eastAsia="zh-CN"/>
        </w:rPr>
        <w:t>98.97%</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eastAsia="zh-CN"/>
        </w:rPr>
        <w:t>，在指标设置时对正向偏差考虑不充分</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导致正向偏差值大。</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val="en-US" w:eastAsia="zh-CN"/>
        </w:rPr>
        <w:t>做好资金、执行方面的绩效设置的同时，还要考虑完成预期，特别是正向预期</w:t>
      </w:r>
      <w:r>
        <w:rPr>
          <w:rFonts w:hint="eastAsia" w:ascii="仿宋_GB2312" w:hAnsi="仿宋_GB2312" w:eastAsia="仿宋_GB2312" w:cs="仿宋_GB2312"/>
          <w:b w:val="0"/>
          <w:bCs w:val="0"/>
          <w:sz w:val="32"/>
          <w:szCs w:val="32"/>
          <w:highlight w:val="none"/>
        </w:rPr>
        <w:t>。</w:t>
      </w:r>
    </w:p>
    <w:p w14:paraId="482E5141">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4461AB0C">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0D9008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45E2942">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w:t>
      </w:r>
    </w:p>
    <w:p w14:paraId="172129A1">
      <w:pPr>
        <w:pStyle w:val="11"/>
        <w:spacing w:before="0" w:after="0" w:line="560" w:lineRule="exact"/>
        <w:ind w:firstLine="643" w:firstLineChars="200"/>
        <w:jc w:val="left"/>
        <w:rPr>
          <w:rFonts w:hint="default" w:ascii="Times New Roman" w:hAnsi="Times New Roman" w:eastAsia="楷体_GB2312" w:cs="Times New Roman"/>
          <w:b/>
          <w:bCs/>
          <w:sz w:val="32"/>
          <w:szCs w:val="32"/>
        </w:rPr>
      </w:pPr>
      <w:r>
        <w:rPr>
          <w:rFonts w:hint="eastAsia" w:ascii="Times New Roman" w:hAnsi="Times New Roman" w:eastAsia="楷体_GB2312" w:cs="Times New Roman"/>
          <w:b/>
          <w:bCs/>
          <w:sz w:val="32"/>
          <w:szCs w:val="32"/>
          <w:lang w:eastAsia="zh-CN"/>
        </w:rPr>
        <w:t>（二）</w:t>
      </w:r>
      <w:r>
        <w:rPr>
          <w:rFonts w:hint="default" w:ascii="Times New Roman" w:hAnsi="Times New Roman" w:eastAsia="楷体_GB2312" w:cs="Times New Roman"/>
          <w:b/>
          <w:bCs/>
          <w:sz w:val="32"/>
          <w:szCs w:val="32"/>
        </w:rPr>
        <w:t>存在的问题及原因分析</w:t>
      </w:r>
    </w:p>
    <w:p w14:paraId="42EDC62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BC0667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88911AA">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73F19B3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461BA42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D8E0B2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2D50757">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20AE683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8BEB79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121A0EA5">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69CC6E12">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14DA6191">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0A8A4CDD">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B327C7F">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08409DAE">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食盐专营管理和专业化监管能力建设</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39C15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28CAD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31F41BF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01F38E6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75989F6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7920288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7727E6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65261D4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BDB0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2FC3B928">
            <w:pPr>
              <w:widowControl/>
              <w:spacing w:line="0" w:lineRule="atLeast"/>
              <w:jc w:val="center"/>
              <w:rPr>
                <w:rFonts w:hint="default" w:ascii="Times New Roman" w:hAnsi="Times New Roman" w:eastAsia="仿宋_GB2312" w:cs="Times New Roman"/>
                <w:color w:val="000000"/>
                <w:kern w:val="0"/>
                <w:sz w:val="18"/>
                <w:szCs w:val="18"/>
              </w:rPr>
            </w:pPr>
          </w:p>
          <w:p w14:paraId="466107E4">
            <w:pPr>
              <w:widowControl/>
              <w:spacing w:line="0" w:lineRule="atLeast"/>
              <w:jc w:val="center"/>
              <w:rPr>
                <w:rFonts w:hint="default" w:ascii="Times New Roman" w:hAnsi="Times New Roman" w:eastAsia="仿宋_GB2312" w:cs="Times New Roman"/>
                <w:color w:val="000000"/>
                <w:kern w:val="0"/>
                <w:sz w:val="18"/>
                <w:szCs w:val="18"/>
              </w:rPr>
            </w:pPr>
          </w:p>
          <w:p w14:paraId="274F7404">
            <w:pPr>
              <w:widowControl/>
              <w:spacing w:line="0" w:lineRule="atLeast"/>
              <w:jc w:val="center"/>
              <w:rPr>
                <w:rFonts w:hint="default" w:ascii="Times New Roman" w:hAnsi="Times New Roman" w:eastAsia="仿宋_GB2312" w:cs="Times New Roman"/>
                <w:color w:val="000000"/>
                <w:kern w:val="0"/>
                <w:sz w:val="18"/>
                <w:szCs w:val="18"/>
              </w:rPr>
            </w:pPr>
          </w:p>
          <w:p w14:paraId="078DB37D">
            <w:pPr>
              <w:widowControl/>
              <w:spacing w:line="0" w:lineRule="atLeast"/>
              <w:jc w:val="center"/>
              <w:rPr>
                <w:rFonts w:hint="default" w:ascii="Times New Roman" w:hAnsi="Times New Roman" w:eastAsia="仿宋_GB2312" w:cs="Times New Roman"/>
                <w:color w:val="000000"/>
                <w:kern w:val="0"/>
                <w:sz w:val="18"/>
                <w:szCs w:val="18"/>
              </w:rPr>
            </w:pPr>
          </w:p>
          <w:p w14:paraId="4B81D469">
            <w:pPr>
              <w:widowControl/>
              <w:spacing w:line="0" w:lineRule="atLeast"/>
              <w:jc w:val="center"/>
              <w:rPr>
                <w:rFonts w:hint="default" w:ascii="Times New Roman" w:hAnsi="Times New Roman" w:eastAsia="仿宋_GB2312" w:cs="Times New Roman"/>
                <w:color w:val="000000"/>
                <w:kern w:val="0"/>
                <w:sz w:val="18"/>
                <w:szCs w:val="18"/>
              </w:rPr>
            </w:pPr>
          </w:p>
          <w:p w14:paraId="3730FE8F">
            <w:pPr>
              <w:widowControl/>
              <w:spacing w:line="0" w:lineRule="atLeast"/>
              <w:jc w:val="center"/>
              <w:rPr>
                <w:rFonts w:hint="default" w:ascii="Times New Roman" w:hAnsi="Times New Roman" w:eastAsia="仿宋_GB2312" w:cs="Times New Roman"/>
                <w:color w:val="000000"/>
                <w:kern w:val="0"/>
                <w:sz w:val="18"/>
                <w:szCs w:val="18"/>
              </w:rPr>
            </w:pPr>
          </w:p>
          <w:p w14:paraId="0C116A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53D6740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794D27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7C19415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318F3B2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22F0B9C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4CBD77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151BCA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9EE1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17720DD6">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C785D38">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8BC6E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3187651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137F4FE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0FE5B7E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63F25A5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3E4F8D0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DD6F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16AB1E8">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13F46E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14EBD14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67A10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50F4D6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4DABE0F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292B16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3A86053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5DED965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03B7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716252E">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2B76D3D">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F0C5F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4E20DC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301079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1F44CE0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2EC39C8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4A8FE77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1FE4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40D7E73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541EED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FFFAC4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7682E9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5568CEE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3B8105F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457E3E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47A6F1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464598E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2B7B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353BB333">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7F40D18">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70A34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72E21A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39E5A3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2652BF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7304E47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22AC3C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0340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115F5265">
            <w:pPr>
              <w:spacing w:line="0" w:lineRule="atLeast"/>
              <w:jc w:val="center"/>
              <w:rPr>
                <w:rFonts w:hint="default" w:ascii="Times New Roman" w:hAnsi="Times New Roman" w:eastAsia="仿宋_GB2312" w:cs="Times New Roman"/>
                <w:color w:val="000000"/>
                <w:kern w:val="0"/>
                <w:sz w:val="18"/>
                <w:szCs w:val="18"/>
              </w:rPr>
            </w:pPr>
          </w:p>
          <w:p w14:paraId="02D23FA3">
            <w:pPr>
              <w:spacing w:line="0" w:lineRule="atLeast"/>
              <w:jc w:val="center"/>
              <w:rPr>
                <w:rFonts w:hint="default" w:ascii="Times New Roman" w:hAnsi="Times New Roman" w:eastAsia="仿宋_GB2312" w:cs="Times New Roman"/>
                <w:color w:val="000000"/>
                <w:kern w:val="0"/>
                <w:sz w:val="18"/>
                <w:szCs w:val="18"/>
              </w:rPr>
            </w:pPr>
          </w:p>
          <w:p w14:paraId="24211013">
            <w:pPr>
              <w:spacing w:line="0" w:lineRule="atLeast"/>
              <w:jc w:val="center"/>
              <w:rPr>
                <w:rFonts w:hint="default" w:ascii="Times New Roman" w:hAnsi="Times New Roman" w:eastAsia="仿宋_GB2312" w:cs="Times New Roman"/>
                <w:color w:val="000000"/>
                <w:kern w:val="0"/>
                <w:sz w:val="18"/>
                <w:szCs w:val="18"/>
              </w:rPr>
            </w:pPr>
          </w:p>
          <w:p w14:paraId="58F13807">
            <w:pPr>
              <w:spacing w:line="0" w:lineRule="atLeast"/>
              <w:jc w:val="center"/>
              <w:rPr>
                <w:rFonts w:hint="default" w:ascii="Times New Roman" w:hAnsi="Times New Roman" w:eastAsia="仿宋_GB2312" w:cs="Times New Roman"/>
                <w:color w:val="000000"/>
                <w:kern w:val="0"/>
                <w:sz w:val="18"/>
                <w:szCs w:val="18"/>
              </w:rPr>
            </w:pPr>
          </w:p>
          <w:p w14:paraId="0DD43F0B">
            <w:pPr>
              <w:spacing w:line="0" w:lineRule="atLeast"/>
              <w:jc w:val="center"/>
              <w:rPr>
                <w:rFonts w:hint="default" w:ascii="Times New Roman" w:hAnsi="Times New Roman" w:eastAsia="仿宋_GB2312" w:cs="Times New Roman"/>
                <w:color w:val="000000"/>
                <w:kern w:val="0"/>
                <w:sz w:val="18"/>
                <w:szCs w:val="18"/>
              </w:rPr>
            </w:pPr>
          </w:p>
          <w:p w14:paraId="555BA18E">
            <w:pPr>
              <w:spacing w:line="0" w:lineRule="atLeast"/>
              <w:jc w:val="center"/>
              <w:rPr>
                <w:rFonts w:hint="default" w:ascii="Times New Roman" w:hAnsi="Times New Roman" w:eastAsia="仿宋_GB2312" w:cs="Times New Roman"/>
                <w:color w:val="000000"/>
                <w:kern w:val="0"/>
                <w:sz w:val="18"/>
                <w:szCs w:val="18"/>
              </w:rPr>
            </w:pPr>
          </w:p>
          <w:p w14:paraId="22C24BC2">
            <w:pPr>
              <w:spacing w:line="0" w:lineRule="atLeast"/>
              <w:jc w:val="center"/>
              <w:rPr>
                <w:rFonts w:hint="default" w:ascii="Times New Roman" w:hAnsi="Times New Roman" w:eastAsia="仿宋_GB2312" w:cs="Times New Roman"/>
                <w:color w:val="000000"/>
                <w:kern w:val="0"/>
                <w:sz w:val="18"/>
                <w:szCs w:val="18"/>
              </w:rPr>
            </w:pPr>
          </w:p>
          <w:p w14:paraId="7DBF54A6">
            <w:pPr>
              <w:spacing w:line="0" w:lineRule="atLeast"/>
              <w:jc w:val="center"/>
              <w:rPr>
                <w:rFonts w:hint="default" w:ascii="Times New Roman" w:hAnsi="Times New Roman" w:eastAsia="仿宋_GB2312" w:cs="Times New Roman"/>
                <w:color w:val="000000"/>
                <w:kern w:val="0"/>
                <w:sz w:val="18"/>
                <w:szCs w:val="18"/>
              </w:rPr>
            </w:pPr>
          </w:p>
          <w:p w14:paraId="357C5310">
            <w:pPr>
              <w:spacing w:line="0" w:lineRule="atLeast"/>
              <w:jc w:val="center"/>
              <w:rPr>
                <w:rFonts w:hint="default" w:ascii="Times New Roman" w:hAnsi="Times New Roman" w:eastAsia="仿宋_GB2312" w:cs="Times New Roman"/>
                <w:color w:val="000000"/>
                <w:kern w:val="0"/>
                <w:sz w:val="18"/>
                <w:szCs w:val="18"/>
              </w:rPr>
            </w:pPr>
          </w:p>
          <w:p w14:paraId="0D718985">
            <w:pPr>
              <w:spacing w:line="0" w:lineRule="atLeast"/>
              <w:jc w:val="center"/>
              <w:rPr>
                <w:rFonts w:hint="default" w:ascii="Times New Roman" w:hAnsi="Times New Roman" w:eastAsia="仿宋_GB2312" w:cs="Times New Roman"/>
                <w:color w:val="000000"/>
                <w:kern w:val="0"/>
                <w:sz w:val="18"/>
                <w:szCs w:val="18"/>
              </w:rPr>
            </w:pPr>
          </w:p>
          <w:p w14:paraId="4DA2E53C">
            <w:pPr>
              <w:spacing w:line="0" w:lineRule="atLeast"/>
              <w:jc w:val="center"/>
              <w:rPr>
                <w:rFonts w:hint="default" w:ascii="Times New Roman" w:hAnsi="Times New Roman" w:eastAsia="仿宋_GB2312" w:cs="Times New Roman"/>
                <w:color w:val="000000"/>
                <w:kern w:val="0"/>
                <w:sz w:val="18"/>
                <w:szCs w:val="18"/>
              </w:rPr>
            </w:pPr>
          </w:p>
          <w:p w14:paraId="1864FCC6">
            <w:pPr>
              <w:spacing w:line="0" w:lineRule="atLeast"/>
              <w:jc w:val="center"/>
              <w:rPr>
                <w:rFonts w:hint="default" w:ascii="Times New Roman" w:hAnsi="Times New Roman" w:eastAsia="仿宋_GB2312" w:cs="Times New Roman"/>
                <w:color w:val="000000"/>
                <w:kern w:val="0"/>
                <w:sz w:val="18"/>
                <w:szCs w:val="18"/>
              </w:rPr>
            </w:pPr>
          </w:p>
          <w:p w14:paraId="353D20D2">
            <w:pPr>
              <w:spacing w:line="0" w:lineRule="atLeast"/>
              <w:jc w:val="center"/>
              <w:rPr>
                <w:rFonts w:hint="default" w:ascii="Times New Roman" w:hAnsi="Times New Roman" w:eastAsia="仿宋_GB2312" w:cs="Times New Roman"/>
                <w:color w:val="000000"/>
                <w:kern w:val="0"/>
                <w:sz w:val="18"/>
                <w:szCs w:val="18"/>
              </w:rPr>
            </w:pPr>
          </w:p>
          <w:p w14:paraId="59295BF8">
            <w:pPr>
              <w:spacing w:line="0" w:lineRule="atLeast"/>
              <w:jc w:val="center"/>
              <w:rPr>
                <w:rFonts w:hint="default" w:ascii="Times New Roman" w:hAnsi="Times New Roman" w:eastAsia="仿宋_GB2312" w:cs="Times New Roman"/>
                <w:color w:val="000000"/>
                <w:kern w:val="0"/>
                <w:sz w:val="18"/>
                <w:szCs w:val="18"/>
              </w:rPr>
            </w:pPr>
          </w:p>
          <w:p w14:paraId="2B2AD959">
            <w:pPr>
              <w:spacing w:line="0" w:lineRule="atLeast"/>
              <w:jc w:val="center"/>
              <w:rPr>
                <w:rFonts w:hint="default" w:ascii="Times New Roman" w:hAnsi="Times New Roman" w:eastAsia="仿宋_GB2312" w:cs="Times New Roman"/>
                <w:color w:val="000000"/>
                <w:kern w:val="0"/>
                <w:sz w:val="18"/>
                <w:szCs w:val="18"/>
              </w:rPr>
            </w:pPr>
          </w:p>
          <w:p w14:paraId="4364975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D841D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152DFDF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4F4160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2E32599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07A5942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098152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4D1D21E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26A2AC2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7FAF19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02A7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1685794F">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72DDC63">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BAB181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625A38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6867B2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3456658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5CC11AF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DA10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B7606E6">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167CDE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18D78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6CE2A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41E6E01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4698E5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60CC394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8EA741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EE66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23D25602">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09F2C91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5EADB6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6D0A0F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2B9FBE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479724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4A85E8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6EE4F5E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354057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4E57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12A43651">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2BB6C90">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7D6CB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26E4A9E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38F1B5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6A92D4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0B762F0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069A85E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B359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3EF2552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76BEFC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0A4B1D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723E750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098EA0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7CEB167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F49BA9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24FC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1135DC8A">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06ACAA3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33E9D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55EDAD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1A5CC31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8BD5F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CF4764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81CD80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5B70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1BC91385">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3315762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1F88A4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540F49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4FEFB4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5C0261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48FADD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BC7D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20A3C69">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5CB86C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3C3833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0267E99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599C41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3AA9C1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4204C55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0E3F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0E25B4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6E3160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44F20D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6DF8984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540CE03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2EF9CA8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48821C0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89A6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5B0D35B">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E4A1AE6">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E2264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76907F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280512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52BD6CD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086282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5DCFBDE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4410F5D">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5B1C23D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2FAC05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35FE4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76B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21EF84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食盐专营管理和专业化监管能力建设</w:t>
            </w:r>
          </w:p>
        </w:tc>
      </w:tr>
      <w:tr w14:paraId="5A8E7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6915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ADF04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新疆维吾尔自治区工业和信息化厅</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AC9A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A9849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新疆维吾尔自治区工业和信息化厅</w:t>
            </w:r>
          </w:p>
        </w:tc>
      </w:tr>
      <w:tr w14:paraId="37361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4F7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3491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F92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849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2362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35C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1FE5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946E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E1D9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A6404">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073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11F2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4.54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59D0C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4.54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D569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5130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3986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94.71%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AF94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9.47</w:t>
            </w:r>
          </w:p>
        </w:tc>
      </w:tr>
      <w:tr w14:paraId="37BC1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F9373">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726B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B257A">
            <w:pPr>
              <w:jc w:val="center"/>
              <w:rPr>
                <w:rFonts w:hint="eastAsia" w:ascii="仿宋_GB2312" w:hAnsi="仿宋_GB2312" w:eastAsia="仿宋_GB2312" w:cs="仿宋_GB2312"/>
                <w:i w:val="0"/>
                <w:iCs w:val="0"/>
                <w:color w:val="000000"/>
                <w:sz w:val="18"/>
                <w:szCs w:val="18"/>
                <w:u w:val="none"/>
                <w:lang w:val="en-US" w:eastAsia="zh-CN"/>
              </w:rPr>
            </w:pP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E8C3B">
            <w:pPr>
              <w:jc w:val="center"/>
              <w:rPr>
                <w:rFonts w:hint="eastAsia" w:ascii="仿宋_GB2312" w:hAnsi="仿宋_GB2312" w:eastAsia="仿宋_GB2312" w:cs="仿宋_GB2312"/>
                <w:i w:val="0"/>
                <w:iCs w:val="0"/>
                <w:color w:val="000000"/>
                <w:sz w:val="18"/>
                <w:szCs w:val="18"/>
                <w:u w:val="none"/>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8EDA1">
            <w:pPr>
              <w:jc w:val="center"/>
              <w:rPr>
                <w:rFonts w:hint="eastAsia" w:ascii="仿宋_GB2312" w:hAnsi="仿宋_GB2312" w:eastAsia="仿宋_GB2312" w:cs="仿宋_GB2312"/>
                <w:i w:val="0"/>
                <w:iCs w:val="0"/>
                <w:color w:val="000000"/>
                <w:sz w:val="18"/>
                <w:szCs w:val="18"/>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CD7E4">
            <w:pPr>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C1115">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34A91">
            <w:pPr>
              <w:jc w:val="center"/>
              <w:rPr>
                <w:rFonts w:hint="eastAsia" w:ascii="仿宋_GB2312" w:hAnsi="仿宋_GB2312" w:eastAsia="仿宋_GB2312" w:cs="仿宋_GB2312"/>
                <w:i w:val="0"/>
                <w:iCs w:val="0"/>
                <w:color w:val="000000"/>
                <w:sz w:val="18"/>
                <w:szCs w:val="18"/>
                <w:u w:val="none"/>
              </w:rPr>
            </w:pPr>
          </w:p>
        </w:tc>
      </w:tr>
      <w:tr w14:paraId="2FB08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E329A">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14:paraId="7739152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1519EC6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4.54</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14:paraId="33C4932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4.54</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14:paraId="28D46FA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4.3</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324C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A4DBA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94.71%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3A69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9.47</w:t>
            </w:r>
          </w:p>
        </w:tc>
      </w:tr>
      <w:tr w14:paraId="647C4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B7E3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F431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EA68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43504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9FBFB">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64B7A459">
            <w:pPr>
              <w:jc w:val="left"/>
              <w:rPr>
                <w:rFonts w:hint="eastAsia" w:ascii="仿宋_GB2312" w:hAnsi="仿宋_GB2312" w:eastAsia="仿宋_GB2312" w:cs="仿宋_GB2312"/>
                <w:i w:val="0"/>
                <w:iCs w:val="0"/>
                <w:color w:val="000000"/>
                <w:sz w:val="18"/>
                <w:szCs w:val="18"/>
                <w:u w:val="none"/>
              </w:rPr>
            </w:pP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CE079F">
            <w:pPr>
              <w:jc w:val="left"/>
              <w:rPr>
                <w:rFonts w:hint="eastAsia" w:ascii="仿宋_GB2312" w:hAnsi="仿宋_GB2312" w:eastAsia="仿宋_GB2312" w:cs="仿宋_GB2312"/>
                <w:i w:val="0"/>
                <w:iCs w:val="0"/>
                <w:color w:val="000000"/>
                <w:sz w:val="18"/>
                <w:szCs w:val="18"/>
                <w:u w:val="none"/>
              </w:rPr>
            </w:pPr>
          </w:p>
        </w:tc>
      </w:tr>
      <w:tr w14:paraId="33EE6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69A7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8F75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1D1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2ED9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1391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BB1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D130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20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90E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B60D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F1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286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984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8433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2D2DE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4E04F">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28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03683BE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14:paraId="686143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培训课时</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8E2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=12课时</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3FE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F58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310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01E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CC1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E4B6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=12课时</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0FD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40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B1D8B">
            <w:pPr>
              <w:jc w:val="center"/>
              <w:rPr>
                <w:rFonts w:hint="eastAsia" w:ascii="仿宋_GB2312" w:hAnsi="仿宋_GB2312" w:eastAsia="仿宋_GB2312" w:cs="仿宋_GB2312"/>
                <w:i w:val="0"/>
                <w:iCs w:val="0"/>
                <w:color w:val="000000"/>
                <w:sz w:val="18"/>
                <w:szCs w:val="18"/>
                <w:u w:val="none"/>
              </w:rPr>
            </w:pPr>
          </w:p>
        </w:tc>
      </w:tr>
      <w:tr w14:paraId="58562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04DE1">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right w:val="single" w:color="000000" w:sz="4" w:space="0"/>
            </w:tcBorders>
            <w:shd w:val="clear" w:color="auto" w:fill="auto"/>
            <w:noWrap/>
            <w:vAlign w:val="center"/>
          </w:tcPr>
          <w:p w14:paraId="03DF826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7479496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14:paraId="0B8FDCD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评审天数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B3F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=4天</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B18D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78A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060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A97C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9F0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D3B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=4天</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A7B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4A4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493A6">
            <w:pPr>
              <w:jc w:val="center"/>
              <w:rPr>
                <w:rFonts w:hint="eastAsia" w:ascii="仿宋_GB2312" w:hAnsi="仿宋_GB2312" w:eastAsia="仿宋_GB2312" w:cs="仿宋_GB2312"/>
                <w:i w:val="0"/>
                <w:iCs w:val="0"/>
                <w:color w:val="000000"/>
                <w:sz w:val="18"/>
                <w:szCs w:val="18"/>
                <w:u w:val="none"/>
              </w:rPr>
            </w:pPr>
          </w:p>
        </w:tc>
      </w:tr>
      <w:tr w14:paraId="5FD9C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6"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03099">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A1682">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6EA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E52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评审出合格供应企业</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F1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&gt;=1家</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09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202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DF2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198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513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51D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=7家</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D46B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2C26">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ECBA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实际符合遴选资格企业多余预计</w:t>
            </w:r>
          </w:p>
        </w:tc>
      </w:tr>
      <w:tr w14:paraId="135B5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DEF7F">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AD09">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4EA080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D432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C3AB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&gt;=98%</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8636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52AC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7EE7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518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82E4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C90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927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E84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9D800">
            <w:pPr>
              <w:jc w:val="center"/>
              <w:rPr>
                <w:rFonts w:hint="eastAsia" w:ascii="仿宋_GB2312" w:hAnsi="仿宋_GB2312" w:eastAsia="仿宋_GB2312" w:cs="仿宋_GB2312"/>
                <w:b/>
                <w:bCs/>
                <w:i w:val="0"/>
                <w:iCs w:val="0"/>
                <w:color w:val="000000"/>
                <w:sz w:val="18"/>
                <w:szCs w:val="18"/>
                <w:u w:val="none"/>
              </w:rPr>
            </w:pPr>
          </w:p>
        </w:tc>
      </w:tr>
      <w:tr w14:paraId="51D35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7F639">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right w:val="single" w:color="000000" w:sz="4" w:space="0"/>
            </w:tcBorders>
            <w:shd w:val="clear" w:color="auto" w:fill="auto"/>
            <w:vAlign w:val="center"/>
          </w:tcPr>
          <w:p w14:paraId="5EE3494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390B1AD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E5C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培训资金成本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F0C0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14:paraId="34EC63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BF7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04D9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nil"/>
              <w:right w:val="single" w:color="000000" w:sz="4" w:space="0"/>
            </w:tcBorders>
            <w:shd w:val="clear" w:color="auto" w:fill="auto"/>
            <w:vAlign w:val="center"/>
          </w:tcPr>
          <w:p w14:paraId="1C8161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7700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9AA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=1.18万元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F06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98.34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273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9.59</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0AC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培训老师课时费低于预计，节约部分成本</w:t>
            </w:r>
          </w:p>
        </w:tc>
      </w:tr>
      <w:tr w14:paraId="731A3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B381">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bottom w:val="single" w:color="000000" w:sz="4" w:space="0"/>
              <w:right w:val="single" w:color="000000" w:sz="4" w:space="0"/>
            </w:tcBorders>
            <w:shd w:val="clear" w:color="auto" w:fill="auto"/>
            <w:vAlign w:val="center"/>
          </w:tcPr>
          <w:p w14:paraId="034F1FE6">
            <w:pPr>
              <w:jc w:val="center"/>
              <w:rPr>
                <w:rFonts w:hint="eastAsia" w:ascii="仿宋_GB2312" w:hAnsi="仿宋_GB2312" w:eastAsia="仿宋_GB2312" w:cs="仿宋_GB2312"/>
                <w:i w:val="0"/>
                <w:iCs w:val="0"/>
                <w:color w:val="000000"/>
                <w:sz w:val="18"/>
                <w:szCs w:val="18"/>
                <w:u w:val="none"/>
                <w:lang w:val="en-US" w:eastAsia="zh-CN"/>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5030730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839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评审资金成本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B797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=3.34万元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14:paraId="23C07A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1BE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DE08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nil"/>
              <w:right w:val="single" w:color="000000" w:sz="4" w:space="0"/>
            </w:tcBorders>
            <w:shd w:val="clear" w:color="auto" w:fill="auto"/>
            <w:vAlign w:val="center"/>
          </w:tcPr>
          <w:p w14:paraId="3787AD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C9C9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9267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=3.12万元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545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93.42</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9FB2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8.36</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190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评审老师品评审费低于预计，节约部分成本</w:t>
            </w:r>
          </w:p>
        </w:tc>
      </w:tr>
      <w:tr w14:paraId="6741D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EB624">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138C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C71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FC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规范供应渠道，保障特殊人群消费需求</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4DA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持续提升</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0D6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014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D56F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99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A100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B4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持续提升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E88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468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47C02">
            <w:pPr>
              <w:jc w:val="center"/>
              <w:rPr>
                <w:rFonts w:hint="eastAsia" w:ascii="仿宋_GB2312" w:hAnsi="仿宋_GB2312" w:eastAsia="仿宋_GB2312" w:cs="仿宋_GB2312"/>
                <w:i w:val="0"/>
                <w:iCs w:val="0"/>
                <w:color w:val="000000"/>
                <w:sz w:val="18"/>
                <w:szCs w:val="18"/>
                <w:u w:val="none"/>
              </w:rPr>
            </w:pPr>
          </w:p>
        </w:tc>
      </w:tr>
      <w:tr w14:paraId="2BD71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2006">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F90BE">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244B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AB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提高专用管理和专营化监管能力，保障供给安全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EE7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持续提高</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8F0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7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D097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82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7F8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243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持续提高</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877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8771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180A">
            <w:pPr>
              <w:jc w:val="center"/>
              <w:rPr>
                <w:rFonts w:hint="eastAsia" w:ascii="仿宋_GB2312" w:hAnsi="仿宋_GB2312" w:eastAsia="仿宋_GB2312" w:cs="仿宋_GB2312"/>
                <w:i w:val="0"/>
                <w:iCs w:val="0"/>
                <w:color w:val="000000"/>
                <w:sz w:val="18"/>
                <w:szCs w:val="18"/>
                <w:u w:val="none"/>
              </w:rPr>
            </w:pPr>
          </w:p>
        </w:tc>
      </w:tr>
      <w:tr w14:paraId="7D532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AF54">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87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874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AE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参加能力提升学员满意度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2A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6B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1E5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04AE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839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44D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CE8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F2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DE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BA29C">
            <w:pPr>
              <w:jc w:val="center"/>
              <w:rPr>
                <w:rFonts w:hint="eastAsia" w:ascii="仿宋_GB2312" w:hAnsi="仿宋_GB2312" w:eastAsia="仿宋_GB2312" w:cs="仿宋_GB2312"/>
                <w:i w:val="0"/>
                <w:iCs w:val="0"/>
                <w:color w:val="000000"/>
                <w:sz w:val="18"/>
                <w:szCs w:val="18"/>
                <w:u w:val="none"/>
              </w:rPr>
            </w:pPr>
          </w:p>
        </w:tc>
      </w:tr>
      <w:tr w14:paraId="710EE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14:paraId="30359E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DB021">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14:paraId="3C446747">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2CA5F">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BE835">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6E6AC">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51213">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78E07">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CED07">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A1B41">
            <w:pPr>
              <w:tabs>
                <w:tab w:val="left" w:pos="212"/>
              </w:tabs>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87.42分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380B6">
            <w:pPr>
              <w:rPr>
                <w:rFonts w:hint="eastAsia" w:ascii="仿宋_GB2312" w:hAnsi="仿宋_GB2312" w:eastAsia="仿宋_GB2312" w:cs="仿宋_GB2312"/>
                <w:i w:val="0"/>
                <w:iCs w:val="0"/>
                <w:color w:val="000000"/>
                <w:sz w:val="18"/>
                <w:szCs w:val="18"/>
                <w:u w:val="none"/>
              </w:rPr>
            </w:pPr>
          </w:p>
        </w:tc>
      </w:tr>
    </w:tbl>
    <w:p w14:paraId="5EC166A0">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方正书宋_GBK">
    <w:altName w:val="Arial Unicode MS"/>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04D8994">
        <w:pPr>
          <w:pStyle w:val="7"/>
          <w:jc w:val="center"/>
        </w:pPr>
        <w:r>
          <w:fldChar w:fldCharType="begin"/>
        </w:r>
        <w:r>
          <w:instrText xml:space="preserve">PAGE   \* MERGEFORMAT</w:instrText>
        </w:r>
        <w:r>
          <w:fldChar w:fldCharType="separate"/>
        </w:r>
        <w:r>
          <w:rPr>
            <w:lang w:val="zh-CN"/>
          </w:rPr>
          <w:t>13</w:t>
        </w:r>
        <w:r>
          <w:fldChar w:fldCharType="end"/>
        </w:r>
      </w:p>
    </w:sdtContent>
  </w:sdt>
  <w:p w14:paraId="3371B0F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B526C20"/>
    <w:rsid w:val="0E3C619F"/>
    <w:rsid w:val="0FD47CAA"/>
    <w:rsid w:val="11170296"/>
    <w:rsid w:val="13471461"/>
    <w:rsid w:val="139A199E"/>
    <w:rsid w:val="13B90F01"/>
    <w:rsid w:val="145209A2"/>
    <w:rsid w:val="155E4C4D"/>
    <w:rsid w:val="17462648"/>
    <w:rsid w:val="181066D2"/>
    <w:rsid w:val="197F6E5D"/>
    <w:rsid w:val="1C671E73"/>
    <w:rsid w:val="1D1125A5"/>
    <w:rsid w:val="1D322C47"/>
    <w:rsid w:val="1FDBB082"/>
    <w:rsid w:val="1FFF5C2D"/>
    <w:rsid w:val="23616034"/>
    <w:rsid w:val="23D4607E"/>
    <w:rsid w:val="24480FA2"/>
    <w:rsid w:val="25227A45"/>
    <w:rsid w:val="267FE6F5"/>
    <w:rsid w:val="26AC3A6A"/>
    <w:rsid w:val="27FA5339"/>
    <w:rsid w:val="281178FD"/>
    <w:rsid w:val="290D6316"/>
    <w:rsid w:val="2B9D7E25"/>
    <w:rsid w:val="2C7C7A3B"/>
    <w:rsid w:val="2DECF06B"/>
    <w:rsid w:val="2EFC0D68"/>
    <w:rsid w:val="2F364819"/>
    <w:rsid w:val="2FD63906"/>
    <w:rsid w:val="2FD79BB8"/>
    <w:rsid w:val="2FF27CCD"/>
    <w:rsid w:val="37215DAE"/>
    <w:rsid w:val="37C5811D"/>
    <w:rsid w:val="38CA40DD"/>
    <w:rsid w:val="395F2B56"/>
    <w:rsid w:val="3BBA0580"/>
    <w:rsid w:val="3BECE841"/>
    <w:rsid w:val="3CDE204C"/>
    <w:rsid w:val="3CFD5B06"/>
    <w:rsid w:val="3D363C36"/>
    <w:rsid w:val="3D5F3055"/>
    <w:rsid w:val="3DBAF510"/>
    <w:rsid w:val="3DBF3446"/>
    <w:rsid w:val="3E37825A"/>
    <w:rsid w:val="3E9C3F6D"/>
    <w:rsid w:val="3EFD6777"/>
    <w:rsid w:val="3FD97B32"/>
    <w:rsid w:val="3FF7797D"/>
    <w:rsid w:val="3FFF29FB"/>
    <w:rsid w:val="46690BD8"/>
    <w:rsid w:val="475F0DCE"/>
    <w:rsid w:val="47EF56B1"/>
    <w:rsid w:val="49F70BF1"/>
    <w:rsid w:val="4B4340EE"/>
    <w:rsid w:val="4BF06537"/>
    <w:rsid w:val="4EF76F95"/>
    <w:rsid w:val="503D507A"/>
    <w:rsid w:val="50AF1783"/>
    <w:rsid w:val="51FA74D0"/>
    <w:rsid w:val="52AA4A52"/>
    <w:rsid w:val="55BD4E56"/>
    <w:rsid w:val="59943D66"/>
    <w:rsid w:val="59E051FD"/>
    <w:rsid w:val="59E6355E"/>
    <w:rsid w:val="5B821531"/>
    <w:rsid w:val="5BFF6039"/>
    <w:rsid w:val="5D76A616"/>
    <w:rsid w:val="5D7F20B9"/>
    <w:rsid w:val="5DAC7D0E"/>
    <w:rsid w:val="5ED7DD3A"/>
    <w:rsid w:val="5F77F06E"/>
    <w:rsid w:val="5F7FABDB"/>
    <w:rsid w:val="5F98B5AF"/>
    <w:rsid w:val="5FE7BFED"/>
    <w:rsid w:val="5FEF957B"/>
    <w:rsid w:val="5FFE8511"/>
    <w:rsid w:val="5FFEACE2"/>
    <w:rsid w:val="5FFFD1DF"/>
    <w:rsid w:val="609D5BF6"/>
    <w:rsid w:val="61073070"/>
    <w:rsid w:val="61B9080E"/>
    <w:rsid w:val="61DF3FED"/>
    <w:rsid w:val="642B176B"/>
    <w:rsid w:val="643EE26D"/>
    <w:rsid w:val="656019A0"/>
    <w:rsid w:val="65F242EE"/>
    <w:rsid w:val="666D7E19"/>
    <w:rsid w:val="669F1F89"/>
    <w:rsid w:val="68376930"/>
    <w:rsid w:val="68F91E38"/>
    <w:rsid w:val="69767E03"/>
    <w:rsid w:val="6B3158B9"/>
    <w:rsid w:val="6BA02A3F"/>
    <w:rsid w:val="6BE452C7"/>
    <w:rsid w:val="6C1E5A53"/>
    <w:rsid w:val="6C3B3A64"/>
    <w:rsid w:val="6D050BD9"/>
    <w:rsid w:val="6D9E223B"/>
    <w:rsid w:val="6DD20F3C"/>
    <w:rsid w:val="6F5C41AC"/>
    <w:rsid w:val="6FAF6C78"/>
    <w:rsid w:val="716167CC"/>
    <w:rsid w:val="718A7AD1"/>
    <w:rsid w:val="72A44BC2"/>
    <w:rsid w:val="7317C656"/>
    <w:rsid w:val="73471835"/>
    <w:rsid w:val="734ED73F"/>
    <w:rsid w:val="73C82B32"/>
    <w:rsid w:val="73F94DAE"/>
    <w:rsid w:val="74220495"/>
    <w:rsid w:val="747D1B6F"/>
    <w:rsid w:val="749E5641"/>
    <w:rsid w:val="753EEAED"/>
    <w:rsid w:val="76271066"/>
    <w:rsid w:val="763764A3"/>
    <w:rsid w:val="763F666A"/>
    <w:rsid w:val="776D249D"/>
    <w:rsid w:val="776FF713"/>
    <w:rsid w:val="77BED8C9"/>
    <w:rsid w:val="77EF1128"/>
    <w:rsid w:val="77FD8BE9"/>
    <w:rsid w:val="78000AED"/>
    <w:rsid w:val="786EFC9D"/>
    <w:rsid w:val="79A9BD3F"/>
    <w:rsid w:val="7A6E0120"/>
    <w:rsid w:val="7AD593EC"/>
    <w:rsid w:val="7B776F12"/>
    <w:rsid w:val="7BBF0CB4"/>
    <w:rsid w:val="7BFFFDD0"/>
    <w:rsid w:val="7C336E5F"/>
    <w:rsid w:val="7C8D4919"/>
    <w:rsid w:val="7C8F3288"/>
    <w:rsid w:val="7CEF6DE4"/>
    <w:rsid w:val="7D17588F"/>
    <w:rsid w:val="7D7A5F86"/>
    <w:rsid w:val="7D7CD310"/>
    <w:rsid w:val="7E266E1E"/>
    <w:rsid w:val="7E2B263C"/>
    <w:rsid w:val="7E3FAF66"/>
    <w:rsid w:val="7E4B683A"/>
    <w:rsid w:val="7E4E4BA8"/>
    <w:rsid w:val="7E5E656D"/>
    <w:rsid w:val="7E8F2BCB"/>
    <w:rsid w:val="7EDB6CFF"/>
    <w:rsid w:val="7F1BDBA7"/>
    <w:rsid w:val="7F37BB4E"/>
    <w:rsid w:val="7F37C74C"/>
    <w:rsid w:val="7F6F0E47"/>
    <w:rsid w:val="7FCA317A"/>
    <w:rsid w:val="7FEF918E"/>
    <w:rsid w:val="7FF2FF1D"/>
    <w:rsid w:val="7FF4FB6F"/>
    <w:rsid w:val="7FF7FF27"/>
    <w:rsid w:val="7FFDF714"/>
    <w:rsid w:val="7FFFEB7D"/>
    <w:rsid w:val="7FFFEBE6"/>
    <w:rsid w:val="8FE79461"/>
    <w:rsid w:val="98F2D9C0"/>
    <w:rsid w:val="9F3F0A1B"/>
    <w:rsid w:val="9F7F356E"/>
    <w:rsid w:val="9FEA4933"/>
    <w:rsid w:val="AEEFEF36"/>
    <w:rsid w:val="AF3FCD8C"/>
    <w:rsid w:val="AFAE240D"/>
    <w:rsid w:val="AFD3362C"/>
    <w:rsid w:val="B6E59568"/>
    <w:rsid w:val="B9FA2A43"/>
    <w:rsid w:val="BBBFEB8C"/>
    <w:rsid w:val="BBFF9464"/>
    <w:rsid w:val="BC87D2A5"/>
    <w:rsid w:val="BD9D0BC9"/>
    <w:rsid w:val="BE377541"/>
    <w:rsid w:val="BF7BA1E4"/>
    <w:rsid w:val="BFBA102B"/>
    <w:rsid w:val="BFDF04FA"/>
    <w:rsid w:val="BFE227EF"/>
    <w:rsid w:val="CD2F291F"/>
    <w:rsid w:val="CF2A1ABD"/>
    <w:rsid w:val="D6FD03FA"/>
    <w:rsid w:val="DA7D3CD9"/>
    <w:rsid w:val="DAEF8A59"/>
    <w:rsid w:val="DB77E6AE"/>
    <w:rsid w:val="DBDC0ADA"/>
    <w:rsid w:val="DBEBB633"/>
    <w:rsid w:val="DD6C4BC5"/>
    <w:rsid w:val="DE7BBAD7"/>
    <w:rsid w:val="DEDE2B06"/>
    <w:rsid w:val="DEFFC13D"/>
    <w:rsid w:val="DFDF30F4"/>
    <w:rsid w:val="E75F1EAF"/>
    <w:rsid w:val="E7773746"/>
    <w:rsid w:val="EBFA31C2"/>
    <w:rsid w:val="ECD7553F"/>
    <w:rsid w:val="EDFFE0C7"/>
    <w:rsid w:val="EEF577F5"/>
    <w:rsid w:val="EF3FC9AB"/>
    <w:rsid w:val="EF7FD27A"/>
    <w:rsid w:val="EFEFFABD"/>
    <w:rsid w:val="EFFF4C5B"/>
    <w:rsid w:val="F3F4A11B"/>
    <w:rsid w:val="F69CB85E"/>
    <w:rsid w:val="F76D3BB2"/>
    <w:rsid w:val="F77E0C67"/>
    <w:rsid w:val="F7D924B6"/>
    <w:rsid w:val="F7FE7FA3"/>
    <w:rsid w:val="F9FD7907"/>
    <w:rsid w:val="FABE0400"/>
    <w:rsid w:val="FAEF933D"/>
    <w:rsid w:val="FAFB56C5"/>
    <w:rsid w:val="FAFBB4BE"/>
    <w:rsid w:val="FB3A4A6A"/>
    <w:rsid w:val="FB49E570"/>
    <w:rsid w:val="FBBF4EFF"/>
    <w:rsid w:val="FBDB48E2"/>
    <w:rsid w:val="FBF7067F"/>
    <w:rsid w:val="FC7F6945"/>
    <w:rsid w:val="FDAD96BE"/>
    <w:rsid w:val="FDD05FE4"/>
    <w:rsid w:val="FDEB2D91"/>
    <w:rsid w:val="FDEF36CC"/>
    <w:rsid w:val="FF6C4049"/>
    <w:rsid w:val="FF78F63F"/>
    <w:rsid w:val="FF8D2000"/>
    <w:rsid w:val="FFBF198C"/>
    <w:rsid w:val="FFE692F8"/>
    <w:rsid w:val="FFE77811"/>
    <w:rsid w:val="FFFB9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link w:val="23"/>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2"/>
    <w:qFormat/>
    <w:uiPriority w:val="0"/>
    <w:pPr>
      <w:spacing w:after="0"/>
      <w:ind w:firstLine="200" w:firstLineChars="200"/>
    </w:pPr>
  </w:style>
  <w:style w:type="paragraph" w:styleId="14">
    <w:name w:val="Body Text First Indent 2"/>
    <w:basedOn w:val="5"/>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6"/>
    <w:qFormat/>
    <w:uiPriority w:val="0"/>
    <w:rPr>
      <w:rFonts w:ascii="Times New Roman" w:hAnsi="Times New Roman" w:eastAsia="宋体" w:cs="Times New Roman"/>
      <w:kern w:val="2"/>
      <w:sz w:val="18"/>
      <w:szCs w:val="18"/>
    </w:rPr>
  </w:style>
  <w:style w:type="character" w:customStyle="1" w:styleId="22">
    <w:name w:val="页眉 字符"/>
    <w:basedOn w:val="16"/>
    <w:link w:val="8"/>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6647</Words>
  <Characters>6768</Characters>
  <Lines>58</Lines>
  <Paragraphs>16</Paragraphs>
  <TotalTime>5</TotalTime>
  <ScaleCrop>false</ScaleCrop>
  <LinksUpToDate>false</LinksUpToDate>
  <CharactersWithSpaces>6771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2023-03-10T13:13:00Z</dcterms:created>
  <dc:creator>审核人</dc:creator>
  <cp:lastModifiedBy>岁月无痕</cp:lastModifiedBy>
  <dcterms:modified xsi:type="dcterms:W3CDTF">2025-08-27T10:25:51Z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A2C1818C777F44DAB32FE2EF327AD44F_13</vt:lpwstr>
  </property>
  <property fmtid="{D5CDD505-2E9C-101B-9397-08002B2CF9AE}" pid="4" name="KSOTemplateDocerSaveRecord">
    <vt:lpwstr>eyJoZGlkIjoiZDg4ZTk4ZThiOTlhYTkyOGVkOWQ5NDlhNjIwNjNhNzEiLCJ1c2VySWQiOiI2MDc4Mzg5MzQifQ==</vt:lpwstr>
  </property>
</Properties>
</file>