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新宋体" w:hAnsi="新宋体" w:eastAsia="新宋体" w:cs="新宋体"/>
          <w:b/>
          <w:kern w:val="0"/>
          <w:sz w:val="28"/>
          <w:szCs w:val="28"/>
        </w:rPr>
      </w:pPr>
    </w:p>
    <w:p>
      <w:pPr>
        <w:spacing w:line="540" w:lineRule="exact"/>
        <w:jc w:val="center"/>
        <w:rPr>
          <w:rFonts w:hint="eastAsia" w:ascii="新宋体" w:hAnsi="新宋体" w:eastAsia="新宋体" w:cs="新宋体"/>
          <w:b/>
          <w:kern w:val="0"/>
          <w:sz w:val="28"/>
          <w:szCs w:val="28"/>
        </w:rPr>
      </w:pPr>
    </w:p>
    <w:p>
      <w:pPr>
        <w:spacing w:line="540" w:lineRule="exact"/>
        <w:jc w:val="center"/>
        <w:rPr>
          <w:rFonts w:hint="eastAsia" w:ascii="新宋体" w:hAnsi="新宋体" w:eastAsia="新宋体" w:cs="新宋体"/>
          <w:b/>
          <w:kern w:val="0"/>
          <w:sz w:val="28"/>
          <w:szCs w:val="28"/>
        </w:rPr>
      </w:pPr>
    </w:p>
    <w:p>
      <w:pPr>
        <w:spacing w:line="540" w:lineRule="exact"/>
        <w:jc w:val="center"/>
        <w:outlineLvl w:val="0"/>
        <w:rPr>
          <w:rFonts w:hint="eastAsia" w:ascii="新宋体" w:hAnsi="新宋体" w:eastAsia="新宋体" w:cs="新宋体"/>
          <w:b/>
          <w:kern w:val="0"/>
          <w:sz w:val="44"/>
          <w:szCs w:val="44"/>
        </w:rPr>
      </w:pPr>
      <w:bookmarkStart w:id="0" w:name="_Toc15826"/>
      <w:r>
        <w:rPr>
          <w:rFonts w:hint="eastAsia" w:ascii="方正小标宋简体" w:hAnsi="方正小标宋简体" w:eastAsia="方正小标宋简体" w:cs="方正小标宋简体"/>
          <w:b w:val="0"/>
          <w:bCs/>
          <w:kern w:val="0"/>
          <w:sz w:val="44"/>
          <w:szCs w:val="44"/>
          <w:lang w:val="en-US" w:eastAsia="zh-CN"/>
        </w:rPr>
        <w:t>原破产企业职工暖气费生活补助及养老保险金</w:t>
      </w:r>
      <w:r>
        <w:rPr>
          <w:rFonts w:hint="eastAsia" w:ascii="方正小标宋简体" w:hAnsi="方正小标宋简体" w:eastAsia="方正小标宋简体" w:cs="方正小标宋简体"/>
          <w:b w:val="0"/>
          <w:bCs/>
          <w:kern w:val="0"/>
          <w:sz w:val="44"/>
          <w:szCs w:val="44"/>
        </w:rPr>
        <w:t>项目支出绩效</w:t>
      </w:r>
      <w:r>
        <w:rPr>
          <w:rFonts w:hint="eastAsia" w:ascii="方正小标宋简体" w:hAnsi="方正小标宋简体" w:eastAsia="方正小标宋简体" w:cs="方正小标宋简体"/>
          <w:b w:val="0"/>
          <w:bCs/>
          <w:kern w:val="0"/>
          <w:sz w:val="44"/>
          <w:szCs w:val="44"/>
          <w:lang w:eastAsia="zh-CN"/>
        </w:rPr>
        <w:t>评</w:t>
      </w:r>
      <w:r>
        <w:rPr>
          <w:rFonts w:hint="eastAsia" w:ascii="方正小标宋简体" w:hAnsi="方正小标宋简体" w:eastAsia="方正小标宋简体" w:cs="方正小标宋简体"/>
          <w:b w:val="0"/>
          <w:bCs/>
          <w:kern w:val="0"/>
          <w:sz w:val="44"/>
          <w:szCs w:val="44"/>
        </w:rPr>
        <w:t>报告</w:t>
      </w:r>
      <w:bookmarkEnd w:id="0"/>
    </w:p>
    <w:p>
      <w:pPr>
        <w:spacing w:line="540" w:lineRule="exact"/>
        <w:jc w:val="center"/>
        <w:rPr>
          <w:rFonts w:hint="eastAsia" w:ascii="新宋体" w:hAnsi="新宋体" w:eastAsia="新宋体" w:cs="新宋体"/>
          <w:b/>
          <w:kern w:val="0"/>
          <w:sz w:val="36"/>
          <w:szCs w:val="36"/>
        </w:rPr>
      </w:pPr>
    </w:p>
    <w:p>
      <w:pPr>
        <w:spacing w:line="54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24</w:t>
      </w:r>
      <w:r>
        <w:rPr>
          <w:rFonts w:hint="eastAsia" w:ascii="仿宋_GB2312" w:hAnsi="仿宋_GB2312" w:eastAsia="仿宋_GB2312" w:cs="仿宋_GB2312"/>
          <w:kern w:val="0"/>
          <w:sz w:val="32"/>
          <w:szCs w:val="32"/>
        </w:rPr>
        <w:t>年度）</w:t>
      </w:r>
    </w:p>
    <w:p>
      <w:pPr>
        <w:spacing w:line="540" w:lineRule="exact"/>
        <w:jc w:val="center"/>
        <w:rPr>
          <w:rFonts w:hint="eastAsia" w:ascii="仿宋_GB2312" w:hAnsi="仿宋_GB2312" w:eastAsia="仿宋_GB2312" w:cs="仿宋_GB2312"/>
          <w:kern w:val="0"/>
          <w:sz w:val="32"/>
          <w:szCs w:val="32"/>
        </w:rPr>
      </w:pPr>
    </w:p>
    <w:p>
      <w:pPr>
        <w:tabs>
          <w:tab w:val="left" w:pos="6897"/>
        </w:tabs>
        <w:spacing w:line="540" w:lineRule="exact"/>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ab/>
      </w:r>
    </w:p>
    <w:p>
      <w:pPr>
        <w:spacing w:line="540" w:lineRule="exact"/>
        <w:jc w:val="center"/>
        <w:rPr>
          <w:rFonts w:hint="eastAsia" w:ascii="仿宋_GB2312" w:hAnsi="仿宋_GB2312" w:eastAsia="仿宋_GB2312" w:cs="仿宋_GB2312"/>
          <w:kern w:val="0"/>
          <w:sz w:val="32"/>
          <w:szCs w:val="32"/>
        </w:rPr>
      </w:pPr>
    </w:p>
    <w:p>
      <w:pPr>
        <w:spacing w:line="540" w:lineRule="exact"/>
        <w:jc w:val="center"/>
        <w:rPr>
          <w:rFonts w:hint="eastAsia" w:ascii="仿宋_GB2312" w:hAnsi="仿宋_GB2312" w:eastAsia="仿宋_GB2312" w:cs="仿宋_GB2312"/>
          <w:kern w:val="0"/>
          <w:sz w:val="32"/>
          <w:szCs w:val="32"/>
        </w:rPr>
      </w:pPr>
    </w:p>
    <w:p>
      <w:pPr>
        <w:spacing w:line="540" w:lineRule="exact"/>
        <w:jc w:val="center"/>
        <w:rPr>
          <w:rFonts w:hint="eastAsia" w:ascii="仿宋_GB2312" w:hAnsi="仿宋_GB2312" w:eastAsia="仿宋_GB2312" w:cs="仿宋_GB2312"/>
          <w:b/>
          <w:kern w:val="0"/>
          <w:sz w:val="32"/>
          <w:szCs w:val="32"/>
        </w:rPr>
      </w:pPr>
    </w:p>
    <w:p>
      <w:pPr>
        <w:spacing w:line="540" w:lineRule="exact"/>
        <w:jc w:val="center"/>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740" w:lineRule="exact"/>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kern w:val="0"/>
          <w:sz w:val="32"/>
          <w:szCs w:val="32"/>
          <w:lang w:val="en-US" w:eastAsia="zh-CN"/>
        </w:rPr>
        <w:t xml:space="preserve">  原破产企业职工暖气费生活补助及养老保险金</w:t>
      </w:r>
    </w:p>
    <w:p>
      <w:pPr>
        <w:keepNext w:val="0"/>
        <w:keepLines w:val="0"/>
        <w:pageBreakBefore w:val="0"/>
        <w:widowControl w:val="0"/>
        <w:kinsoku/>
        <w:wordWrap/>
        <w:overflowPunct/>
        <w:topLinePunct w:val="0"/>
        <w:autoSpaceDE/>
        <w:autoSpaceDN/>
        <w:bidi w:val="0"/>
        <w:adjustRightInd/>
        <w:snapToGrid/>
        <w:spacing w:line="740" w:lineRule="exact"/>
        <w:ind w:left="2560" w:hanging="2560" w:hangingChars="800"/>
        <w:jc w:val="both"/>
        <w:textAlignment w:val="auto"/>
        <w:rPr>
          <w:rFonts w:hint="eastAsia" w:ascii="仿宋_GB2312" w:hAnsi="仿宋_GB2312" w:eastAsia="仿宋_GB2312" w:cs="仿宋_GB2312"/>
          <w:kern w:val="0"/>
          <w:sz w:val="32"/>
          <w:szCs w:val="32"/>
          <w:highlight w:val="yellow"/>
          <w:lang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spacing w:val="-34"/>
          <w:kern w:val="0"/>
          <w:sz w:val="32"/>
          <w:szCs w:val="32"/>
          <w:lang w:eastAsia="zh-CN"/>
        </w:rPr>
        <w:t>新</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疆</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维</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吾</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尔</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自</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治</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区</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工</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业</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和</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信</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息</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化</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厅</w:t>
      </w:r>
      <w:r>
        <w:rPr>
          <w:rFonts w:hint="eastAsia" w:ascii="仿宋_GB2312" w:hAnsi="仿宋_GB2312" w:eastAsia="仿宋_GB2312" w:cs="仿宋_GB2312"/>
          <w:spacing w:val="-34"/>
          <w:kern w:val="0"/>
          <w:sz w:val="32"/>
          <w:szCs w:val="32"/>
          <w:lang w:val="en-US" w:eastAsia="zh-CN"/>
        </w:rPr>
        <w:t xml:space="preserve"> </w:t>
      </w:r>
    </w:p>
    <w:p>
      <w:pPr>
        <w:keepNext w:val="0"/>
        <w:keepLines w:val="0"/>
        <w:pageBreakBefore w:val="0"/>
        <w:widowControl w:val="0"/>
        <w:tabs>
          <w:tab w:val="center" w:pos="3940"/>
        </w:tabs>
        <w:kinsoku/>
        <w:wordWrap/>
        <w:overflowPunct/>
        <w:topLinePunct w:val="0"/>
        <w:autoSpaceDE/>
        <w:autoSpaceDN/>
        <w:bidi w:val="0"/>
        <w:adjustRightInd/>
        <w:snapToGrid/>
        <w:spacing w:line="740" w:lineRule="exact"/>
        <w:jc w:val="left"/>
        <w:textAlignment w:val="auto"/>
        <w:rPr>
          <w:rFonts w:hint="default" w:ascii="仿宋_GB2312" w:hAnsi="仿宋_GB2312" w:eastAsia="仿宋_GB2312" w:cs="仿宋_GB2312"/>
          <w:kern w:val="0"/>
          <w:sz w:val="32"/>
          <w:szCs w:val="32"/>
          <w:lang w:val="en-US" w:eastAsia="zh-CN"/>
        </w:rPr>
      </w:pPr>
      <w:bookmarkStart w:id="7" w:name="_GoBack"/>
      <w:bookmarkEnd w:id="7"/>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val="en-US" w:eastAsia="zh-CN"/>
        </w:rPr>
        <w:t>张百武</w:t>
      </w:r>
    </w:p>
    <w:p>
      <w:pPr>
        <w:keepNext w:val="0"/>
        <w:keepLines w:val="0"/>
        <w:pageBreakBefore w:val="0"/>
        <w:widowControl w:val="0"/>
        <w:kinsoku/>
        <w:wordWrap/>
        <w:overflowPunct/>
        <w:topLinePunct w:val="0"/>
        <w:autoSpaceDE/>
        <w:autoSpaceDN/>
        <w:bidi w:val="0"/>
        <w:adjustRightInd/>
        <w:snapToGrid/>
        <w:spacing w:line="74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填报</w:t>
      </w:r>
      <w:r>
        <w:rPr>
          <w:rFonts w:hint="eastAsia" w:ascii="仿宋_GB2312" w:hAnsi="仿宋_GB2312" w:eastAsia="仿宋_GB2312" w:cs="仿宋_GB2312"/>
          <w:kern w:val="0"/>
          <w:sz w:val="32"/>
          <w:szCs w:val="32"/>
        </w:rPr>
        <w:t>时间： 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19</w:t>
      </w:r>
      <w:r>
        <w:rPr>
          <w:rFonts w:hint="eastAsia" w:ascii="仿宋_GB2312" w:hAnsi="仿宋_GB2312" w:eastAsia="仿宋_GB2312" w:cs="仿宋_GB2312"/>
          <w:kern w:val="0"/>
          <w:sz w:val="32"/>
          <w:szCs w:val="32"/>
        </w:rPr>
        <w:t>日</w:t>
      </w:r>
    </w:p>
    <w:p>
      <w:pPr>
        <w:keepNext w:val="0"/>
        <w:keepLines w:val="0"/>
        <w:pageBreakBefore w:val="0"/>
        <w:widowControl/>
        <w:kinsoku/>
        <w:wordWrap/>
        <w:overflowPunct/>
        <w:topLinePunct w:val="0"/>
        <w:autoSpaceDE/>
        <w:autoSpaceDN/>
        <w:bidi w:val="0"/>
        <w:adjustRightInd/>
        <w:snapToGrid/>
        <w:spacing w:line="620" w:lineRule="exact"/>
        <w:jc w:val="left"/>
        <w:textAlignment w:val="auto"/>
        <w:rPr>
          <w:rFonts w:hint="eastAsia" w:ascii="新宋体" w:hAnsi="新宋体" w:eastAsia="新宋体" w:cs="新宋体"/>
          <w:kern w:val="0"/>
          <w:sz w:val="28"/>
          <w:szCs w:val="28"/>
        </w:rPr>
      </w:pPr>
    </w:p>
    <w:p>
      <w:pPr>
        <w:keepNext w:val="0"/>
        <w:keepLines w:val="0"/>
        <w:pageBreakBefore w:val="0"/>
        <w:kinsoku/>
        <w:wordWrap/>
        <w:overflowPunct/>
        <w:topLinePunct w:val="0"/>
        <w:autoSpaceDE/>
        <w:autoSpaceDN/>
        <w:bidi w:val="0"/>
        <w:adjustRightInd/>
        <w:snapToGrid/>
        <w:spacing w:line="620" w:lineRule="exact"/>
        <w:jc w:val="center"/>
        <w:textAlignment w:val="auto"/>
        <w:rPr>
          <w:rFonts w:hint="eastAsia" w:ascii="新宋体" w:hAnsi="新宋体" w:eastAsia="新宋体" w:cs="新宋体"/>
          <w:sz w:val="28"/>
          <w:szCs w:val="28"/>
          <w:lang w:eastAsia="zh-CN"/>
        </w:rPr>
      </w:pPr>
    </w:p>
    <w:p>
      <w:pPr>
        <w:pStyle w:val="14"/>
        <w:rPr>
          <w:rFonts w:hint="eastAsia" w:ascii="新宋体" w:hAnsi="新宋体" w:eastAsia="新宋体" w:cs="新宋体"/>
          <w:lang w:eastAsia="zh-CN"/>
        </w:rPr>
      </w:pPr>
    </w:p>
    <w:p>
      <w:pPr>
        <w:pStyle w:val="9"/>
        <w:pageBreakBefore w:val="0"/>
        <w:widowControl/>
        <w:tabs>
          <w:tab w:val="right" w:leader="dot" w:pos="8834"/>
        </w:tabs>
        <w:kinsoku/>
        <w:wordWrap/>
        <w:overflowPunct/>
        <w:topLinePunct w:val="0"/>
        <w:autoSpaceDE/>
        <w:autoSpaceDN/>
        <w:bidi w:val="0"/>
        <w:adjustRightInd/>
        <w:snapToGrid/>
        <w:spacing w:line="520" w:lineRule="exact"/>
        <w:ind w:firstLine="3520" w:firstLineChars="1100"/>
        <w:textAlignment w:val="auto"/>
        <w:rPr>
          <w:rFonts w:hint="eastAsia" w:ascii="方正小标宋简体" w:hAnsi="方正小标宋简体" w:eastAsia="方正小标宋简体" w:cs="方正小标宋简体"/>
          <w:sz w:val="32"/>
          <w:szCs w:val="32"/>
          <w:lang w:val="en-US" w:eastAsia="zh-CN"/>
        </w:rPr>
      </w:pPr>
    </w:p>
    <w:p>
      <w:pPr>
        <w:pStyle w:val="9"/>
        <w:pageBreakBefore w:val="0"/>
        <w:widowControl/>
        <w:tabs>
          <w:tab w:val="right" w:leader="dot" w:pos="8834"/>
        </w:tabs>
        <w:kinsoku/>
        <w:wordWrap/>
        <w:overflowPunct/>
        <w:topLinePunct w:val="0"/>
        <w:autoSpaceDE/>
        <w:autoSpaceDN/>
        <w:bidi w:val="0"/>
        <w:adjustRightInd/>
        <w:snapToGrid/>
        <w:spacing w:line="520" w:lineRule="exact"/>
        <w:ind w:firstLine="3520" w:firstLineChars="1100"/>
        <w:textAlignment w:val="auto"/>
        <w:rPr>
          <w:rFonts w:hint="eastAsia" w:ascii="方正小标宋简体" w:hAnsi="方正小标宋简体" w:eastAsia="方正小标宋简体" w:cs="方正小标宋简体"/>
          <w:sz w:val="32"/>
          <w:szCs w:val="32"/>
          <w:lang w:val="en-US" w:eastAsia="zh-CN"/>
        </w:rPr>
      </w:pPr>
    </w:p>
    <w:p>
      <w:pPr>
        <w:pStyle w:val="14"/>
        <w:rPr>
          <w:rFonts w:hint="eastAsia" w:ascii="新宋体" w:hAnsi="新宋体" w:eastAsia="新宋体" w:cs="新宋体"/>
          <w:sz w:val="24"/>
          <w:szCs w:val="24"/>
          <w:lang w:eastAsia="zh-CN"/>
        </w:rPr>
      </w:pPr>
    </w:p>
    <w:p>
      <w:pPr>
        <w:keepNext w:val="0"/>
        <w:keepLines w:val="0"/>
        <w:pageBreakBefore w:val="0"/>
        <w:kinsoku/>
        <w:wordWrap/>
        <w:overflowPunct/>
        <w:topLinePunct w:val="0"/>
        <w:autoSpaceDE/>
        <w:autoSpaceDN/>
        <w:bidi w:val="0"/>
        <w:adjustRightInd/>
        <w:snapToGrid/>
        <w:spacing w:line="600" w:lineRule="exact"/>
        <w:ind w:firstLine="880" w:firstLineChars="200"/>
        <w:jc w:val="both"/>
        <w:textAlignment w:val="auto"/>
        <w:rPr>
          <w:rFonts w:hint="eastAsia" w:ascii="方正小标宋简体" w:hAnsi="方正小标宋简体" w:eastAsia="方正小标宋简体" w:cs="方正小标宋简体"/>
          <w:b w:val="0"/>
          <w:bCs w:val="0"/>
          <w:kern w:val="0"/>
          <w:sz w:val="44"/>
          <w:szCs w:val="44"/>
          <w:lang w:val="en-US" w:eastAsia="zh-CN"/>
        </w:rPr>
      </w:pPr>
      <w:r>
        <w:rPr>
          <w:rFonts w:hint="eastAsia" w:ascii="方正小标宋简体" w:hAnsi="方正小标宋简体" w:eastAsia="方正小标宋简体" w:cs="方正小标宋简体"/>
          <w:b w:val="0"/>
          <w:bCs w:val="0"/>
          <w:kern w:val="0"/>
          <w:sz w:val="44"/>
          <w:szCs w:val="44"/>
          <w:lang w:val="en-US" w:eastAsia="zh-CN"/>
        </w:rPr>
        <w:t>原破产企业职工暖气费生活补助</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方正小标宋简体" w:hAnsi="方正小标宋简体" w:eastAsia="宋体" w:cs="方正小标宋简体"/>
          <w:b/>
          <w:kern w:val="0"/>
          <w:sz w:val="44"/>
          <w:szCs w:val="44"/>
          <w:lang w:val="en-US" w:eastAsia="zh-CN"/>
        </w:rPr>
      </w:pPr>
      <w:r>
        <w:rPr>
          <w:rFonts w:hint="eastAsia" w:ascii="方正小标宋简体" w:hAnsi="方正小标宋简体" w:eastAsia="方正小标宋简体" w:cs="方正小标宋简体"/>
          <w:b w:val="0"/>
          <w:bCs w:val="0"/>
          <w:kern w:val="0"/>
          <w:sz w:val="44"/>
          <w:szCs w:val="44"/>
          <w:lang w:val="en-US" w:eastAsia="zh-CN"/>
        </w:rPr>
        <w:t>及养老保险金项目支出绩效评价报告</w:t>
      </w:r>
    </w:p>
    <w:p>
      <w:pPr>
        <w:keepNext w:val="0"/>
        <w:keepLines w:val="0"/>
        <w:pageBreakBefore w:val="0"/>
        <w:kinsoku/>
        <w:wordWrap/>
        <w:overflowPunct/>
        <w:topLinePunct w:val="0"/>
        <w:autoSpaceDE/>
        <w:autoSpaceDN/>
        <w:bidi w:val="0"/>
        <w:adjustRightInd/>
        <w:snapToGrid/>
        <w:spacing w:after="0" w:line="600" w:lineRule="exact"/>
        <w:ind w:left="0" w:leftChars="0" w:right="0" w:rightChars="0" w:firstLine="640"/>
        <w:textAlignment w:val="auto"/>
        <w:outlineLvl w:val="0"/>
        <w:rPr>
          <w:rStyle w:val="18"/>
          <w:rFonts w:hint="eastAsia" w:ascii="新宋体" w:hAnsi="新宋体" w:eastAsia="新宋体" w:cs="新宋体"/>
          <w:b w:val="0"/>
          <w:spacing w:val="-4"/>
          <w:sz w:val="44"/>
          <w:szCs w:val="44"/>
          <w:lang w:eastAsia="zh-CN"/>
        </w:rPr>
      </w:pPr>
      <w:bookmarkStart w:id="1" w:name="_Toc7644"/>
    </w:p>
    <w:p>
      <w:pPr>
        <w:keepNext w:val="0"/>
        <w:keepLines w:val="0"/>
        <w:pageBreakBefore w:val="0"/>
        <w:kinsoku/>
        <w:wordWrap/>
        <w:overflowPunct/>
        <w:topLinePunct w:val="0"/>
        <w:autoSpaceDE/>
        <w:autoSpaceDN/>
        <w:bidi w:val="0"/>
        <w:adjustRightInd/>
        <w:snapToGrid/>
        <w:spacing w:after="0" w:line="600" w:lineRule="exact"/>
        <w:ind w:left="0" w:leftChars="0" w:right="0" w:rightChars="0" w:firstLine="640"/>
        <w:textAlignment w:val="auto"/>
        <w:outlineLvl w:val="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lang w:eastAsia="zh-CN"/>
        </w:rPr>
        <w:t>一、基本情况</w:t>
      </w:r>
      <w:bookmarkEnd w:id="1"/>
    </w:p>
    <w:p>
      <w:pPr>
        <w:keepNext w:val="0"/>
        <w:keepLines w:val="0"/>
        <w:pageBreakBefore w:val="0"/>
        <w:kinsoku/>
        <w:wordWrap/>
        <w:overflowPunct/>
        <w:topLinePunct w:val="0"/>
        <w:autoSpaceDE/>
        <w:autoSpaceDN/>
        <w:bidi w:val="0"/>
        <w:adjustRightInd/>
        <w:snapToGrid/>
        <w:spacing w:after="0" w:line="600" w:lineRule="exact"/>
        <w:ind w:left="0" w:leftChars="0" w:right="0" w:rightChars="0" w:firstLine="566" w:firstLineChars="181"/>
        <w:textAlignment w:val="auto"/>
        <w:rPr>
          <w:rStyle w:val="18"/>
          <w:rFonts w:hint="eastAsia" w:ascii="仿宋_GB2312" w:hAnsi="仿宋_GB2312" w:eastAsia="仿宋_GB2312" w:cs="仿宋_GB2312"/>
          <w:spacing w:val="-4"/>
          <w:sz w:val="32"/>
          <w:szCs w:val="32"/>
          <w:lang w:val="en-US" w:eastAsia="zh-CN"/>
        </w:rPr>
      </w:pPr>
      <w:r>
        <w:rPr>
          <w:rStyle w:val="18"/>
          <w:rFonts w:hint="eastAsia" w:ascii="仿宋_GB2312" w:hAnsi="仿宋_GB2312" w:eastAsia="仿宋_GB2312" w:cs="仿宋_GB2312"/>
          <w:spacing w:val="-4"/>
          <w:sz w:val="32"/>
          <w:szCs w:val="32"/>
          <w:lang w:eastAsia="zh-CN"/>
        </w:rPr>
        <w:t>（</w:t>
      </w:r>
      <w:r>
        <w:rPr>
          <w:rStyle w:val="18"/>
          <w:rFonts w:hint="eastAsia" w:ascii="仿宋_GB2312" w:hAnsi="仿宋_GB2312" w:eastAsia="仿宋_GB2312" w:cs="仿宋_GB2312"/>
          <w:spacing w:val="-4"/>
          <w:sz w:val="32"/>
          <w:szCs w:val="32"/>
        </w:rPr>
        <w:t>一</w:t>
      </w:r>
      <w:r>
        <w:rPr>
          <w:rStyle w:val="18"/>
          <w:rFonts w:hint="eastAsia" w:ascii="仿宋_GB2312" w:hAnsi="仿宋_GB2312" w:eastAsia="仿宋_GB2312" w:cs="仿宋_GB2312"/>
          <w:spacing w:val="-4"/>
          <w:sz w:val="32"/>
          <w:szCs w:val="32"/>
          <w:lang w:eastAsia="zh-CN"/>
        </w:rPr>
        <w:t>）</w:t>
      </w:r>
      <w:r>
        <w:rPr>
          <w:rStyle w:val="18"/>
          <w:rFonts w:hint="eastAsia" w:ascii="仿宋_GB2312" w:hAnsi="仿宋_GB2312" w:eastAsia="仿宋_GB2312" w:cs="仿宋_GB2312"/>
          <w:spacing w:val="-4"/>
          <w:sz w:val="32"/>
          <w:szCs w:val="32"/>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546" w:firstLineChars="200"/>
        <w:jc w:val="left"/>
        <w:textAlignment w:val="auto"/>
        <w:outlineLvl w:val="9"/>
        <w:rPr>
          <w:rFonts w:hint="eastAsia" w:ascii="仿宋_GB2312" w:hAnsi="仿宋_GB2312" w:eastAsia="仿宋_GB2312" w:cs="仿宋_GB2312"/>
          <w:kern w:val="10"/>
          <w:sz w:val="28"/>
          <w:szCs w:val="28"/>
        </w:rPr>
      </w:pPr>
      <w:bookmarkStart w:id="2" w:name="_Toc13198"/>
      <w:r>
        <w:rPr>
          <w:rStyle w:val="18"/>
          <w:rFonts w:hint="eastAsia" w:ascii="仿宋_GB2312" w:hAnsi="仿宋_GB2312" w:eastAsia="仿宋_GB2312" w:cs="仿宋_GB2312"/>
          <w:b/>
          <w:bCs w:val="0"/>
          <w:spacing w:val="-4"/>
          <w:sz w:val="28"/>
          <w:szCs w:val="28"/>
          <w:highlight w:val="none"/>
          <w:lang w:val="en-US" w:eastAsia="zh-CN"/>
        </w:rPr>
        <w:t>1.</w:t>
      </w:r>
      <w:r>
        <w:rPr>
          <w:rStyle w:val="18"/>
          <w:rFonts w:hint="eastAsia" w:ascii="仿宋_GB2312" w:hAnsi="仿宋_GB2312" w:eastAsia="仿宋_GB2312" w:cs="仿宋_GB2312"/>
          <w:b/>
          <w:bCs w:val="0"/>
          <w:spacing w:val="-4"/>
          <w:sz w:val="28"/>
          <w:szCs w:val="28"/>
          <w:highlight w:val="none"/>
          <w:lang w:eastAsia="zh-CN"/>
        </w:rPr>
        <w:t>项目背景：</w:t>
      </w:r>
      <w:r>
        <w:rPr>
          <w:rFonts w:hint="eastAsia" w:ascii="仿宋_GB2312" w:hAnsi="仿宋_GB2312" w:eastAsia="仿宋_GB2312" w:cs="仿宋_GB2312"/>
          <w:kern w:val="10"/>
          <w:sz w:val="28"/>
          <w:szCs w:val="28"/>
          <w:lang w:val="en-US" w:eastAsia="zh-CN"/>
        </w:rPr>
        <w:t>新疆盐湖化工厂于2006年5月10日经乌鲁木齐市中级人民法院宣告破产，2011年破产终结。根据新疆维吾尔自治区人力资源和社会保障厅[2010]535号《关于增补新疆盐湖化工厂49名无固定收入遗孀取暖费的复函》，由原自治区轻工业行业管理办公室从资产变现清算费用中每年负责发放</w:t>
      </w:r>
      <w:r>
        <w:rPr>
          <w:rFonts w:hint="eastAsia" w:ascii="仿宋_GB2312" w:hAnsi="仿宋_GB2312" w:eastAsia="仿宋_GB2312" w:cs="仿宋_GB2312"/>
          <w:b w:val="0"/>
          <w:bCs w:val="0"/>
          <w:kern w:val="10"/>
          <w:sz w:val="28"/>
          <w:szCs w:val="28"/>
          <w:lang w:val="en-US" w:eastAsia="zh-CN"/>
        </w:rPr>
        <w:t>原盐湖化工厂企业供养人员的采暖费39人，遗属</w:t>
      </w:r>
      <w:r>
        <w:rPr>
          <w:rFonts w:hint="eastAsia" w:ascii="仿宋_GB2312" w:hAnsi="仿宋_GB2312" w:eastAsia="仿宋_GB2312" w:cs="仿宋_GB2312"/>
          <w:kern w:val="10"/>
          <w:sz w:val="28"/>
          <w:szCs w:val="28"/>
          <w:lang w:val="en-US" w:eastAsia="zh-CN"/>
        </w:rPr>
        <w:t>（无收入人员）生活费</w:t>
      </w:r>
      <w:r>
        <w:rPr>
          <w:rFonts w:hint="eastAsia" w:ascii="仿宋_GB2312" w:hAnsi="仿宋_GB2312" w:eastAsia="仿宋_GB2312" w:cs="仿宋_GB2312"/>
          <w:b w:val="0"/>
          <w:bCs w:val="0"/>
          <w:kern w:val="10"/>
          <w:sz w:val="28"/>
          <w:szCs w:val="28"/>
          <w:lang w:val="en-US" w:eastAsia="zh-CN"/>
        </w:rPr>
        <w:t>2人</w:t>
      </w:r>
      <w:r>
        <w:rPr>
          <w:rFonts w:hint="eastAsia" w:ascii="仿宋_GB2312" w:hAnsi="仿宋_GB2312" w:eastAsia="仿宋_GB2312" w:cs="仿宋_GB2312"/>
          <w:kern w:val="10"/>
          <w:sz w:val="28"/>
          <w:szCs w:val="28"/>
          <w:lang w:val="en-US" w:eastAsia="zh-CN"/>
        </w:rPr>
        <w:t>。5-6级工伤养老保险金3人。</w:t>
      </w:r>
      <w:r>
        <w:rPr>
          <w:rFonts w:hint="eastAsia" w:ascii="仿宋_GB2312" w:hAnsi="仿宋_GB2312" w:eastAsia="仿宋_GB2312" w:cs="仿宋_GB2312"/>
          <w:kern w:val="10"/>
          <w:sz w:val="28"/>
          <w:szCs w:val="28"/>
        </w:rPr>
        <w:t>以保障破产</w:t>
      </w:r>
      <w:r>
        <w:rPr>
          <w:rFonts w:hint="eastAsia" w:ascii="仿宋_GB2312" w:hAnsi="仿宋_GB2312" w:eastAsia="仿宋_GB2312" w:cs="仿宋_GB2312"/>
          <w:kern w:val="10"/>
          <w:sz w:val="28"/>
          <w:szCs w:val="28"/>
          <w:lang w:eastAsia="zh-CN"/>
        </w:rPr>
        <w:t>企业供养人员的</w:t>
      </w:r>
      <w:r>
        <w:rPr>
          <w:rFonts w:hint="eastAsia" w:ascii="仿宋_GB2312" w:hAnsi="仿宋_GB2312" w:eastAsia="仿宋_GB2312" w:cs="仿宋_GB2312"/>
          <w:kern w:val="10"/>
          <w:sz w:val="28"/>
          <w:szCs w:val="28"/>
        </w:rPr>
        <w:t>基本生活，</w:t>
      </w:r>
      <w:r>
        <w:rPr>
          <w:rFonts w:hint="eastAsia" w:ascii="仿宋_GB2312" w:hAnsi="仿宋_GB2312" w:eastAsia="仿宋_GB2312" w:cs="仿宋_GB2312"/>
          <w:kern w:val="10"/>
          <w:sz w:val="28"/>
          <w:szCs w:val="28"/>
          <w:lang w:eastAsia="zh-CN"/>
        </w:rPr>
        <w:t>让盐湖供养人员</w:t>
      </w:r>
      <w:r>
        <w:rPr>
          <w:rFonts w:hint="eastAsia" w:ascii="仿宋_GB2312" w:hAnsi="仿宋_GB2312" w:eastAsia="仿宋_GB2312" w:cs="仿宋_GB2312"/>
          <w:kern w:val="10"/>
          <w:sz w:val="28"/>
          <w:szCs w:val="28"/>
        </w:rPr>
        <w:t>感受到党和政府的关怀，使他们能安度晚年，维护了社会大局稳定。</w:t>
      </w:r>
      <w:bookmarkEnd w:id="2"/>
    </w:p>
    <w:p>
      <w:pPr>
        <w:pStyle w:val="3"/>
        <w:pageBreakBefore w:val="0"/>
        <w:widowControl w:val="0"/>
        <w:kinsoku/>
        <w:wordWrap/>
        <w:overflowPunct/>
        <w:topLinePunct w:val="0"/>
        <w:autoSpaceDE/>
        <w:autoSpaceDN/>
        <w:bidi w:val="0"/>
        <w:adjustRightInd/>
        <w:snapToGrid/>
        <w:spacing w:line="600" w:lineRule="exact"/>
        <w:ind w:firstLine="819" w:firstLineChars="300"/>
        <w:jc w:val="left"/>
        <w:textAlignment w:val="auto"/>
        <w:rPr>
          <w:rFonts w:hint="eastAsia" w:ascii="仿宋_GB2312" w:hAnsi="仿宋_GB2312" w:eastAsia="仿宋_GB2312" w:cs="仿宋_GB2312"/>
          <w:b w:val="0"/>
          <w:bCs w:val="0"/>
          <w:sz w:val="28"/>
          <w:szCs w:val="28"/>
        </w:rPr>
      </w:pPr>
      <w:bookmarkStart w:id="3" w:name="_Toc11006"/>
      <w:r>
        <w:rPr>
          <w:rStyle w:val="18"/>
          <w:rFonts w:hint="eastAsia" w:ascii="仿宋_GB2312" w:hAnsi="仿宋_GB2312" w:eastAsia="仿宋_GB2312" w:cs="仿宋_GB2312"/>
          <w:b/>
          <w:bCs w:val="0"/>
          <w:spacing w:val="-4"/>
          <w:kern w:val="10"/>
          <w:sz w:val="28"/>
          <w:szCs w:val="28"/>
          <w:highlight w:val="none"/>
          <w:lang w:val="en-US" w:eastAsia="zh-CN"/>
        </w:rPr>
        <w:t>2.</w:t>
      </w:r>
      <w:r>
        <w:rPr>
          <w:rStyle w:val="18"/>
          <w:rFonts w:hint="eastAsia" w:ascii="仿宋_GB2312" w:hAnsi="仿宋_GB2312" w:eastAsia="仿宋_GB2312" w:cs="仿宋_GB2312"/>
          <w:b/>
          <w:bCs w:val="0"/>
          <w:spacing w:val="-4"/>
          <w:kern w:val="10"/>
          <w:sz w:val="28"/>
          <w:szCs w:val="28"/>
          <w:highlight w:val="none"/>
          <w:lang w:eastAsia="zh-CN"/>
        </w:rPr>
        <w:t>项目主要内容：</w:t>
      </w:r>
      <w:r>
        <w:rPr>
          <w:rFonts w:hint="eastAsia" w:ascii="仿宋_GB2312" w:hAnsi="仿宋_GB2312" w:eastAsia="仿宋_GB2312" w:cs="仿宋_GB2312"/>
          <w:kern w:val="10"/>
          <w:sz w:val="28"/>
          <w:szCs w:val="28"/>
        </w:rPr>
        <w:t>经</w:t>
      </w:r>
      <w:r>
        <w:rPr>
          <w:rFonts w:hint="eastAsia" w:ascii="仿宋_GB2312" w:hAnsi="仿宋_GB2312" w:eastAsia="仿宋_GB2312" w:cs="仿宋_GB2312"/>
          <w:kern w:val="10"/>
          <w:sz w:val="28"/>
          <w:szCs w:val="28"/>
          <w:lang w:eastAsia="zh-CN"/>
        </w:rPr>
        <w:t>过核查测算</w:t>
      </w:r>
      <w:r>
        <w:rPr>
          <w:rFonts w:hint="eastAsia" w:ascii="仿宋_GB2312" w:hAnsi="仿宋_GB2312" w:eastAsia="仿宋_GB2312" w:cs="仿宋_GB2312"/>
          <w:kern w:val="10"/>
          <w:sz w:val="28"/>
          <w:szCs w:val="28"/>
          <w:lang w:val="en-US" w:eastAsia="zh-CN"/>
        </w:rPr>
        <w:t>，领取原破产企业供养人员暖气费生活补助及养老保险金的共44人，申请暖气费、</w:t>
      </w:r>
      <w:r>
        <w:rPr>
          <w:rFonts w:hint="eastAsia" w:ascii="仿宋_GB2312" w:hAnsi="仿宋_GB2312" w:eastAsia="仿宋_GB2312" w:cs="仿宋_GB2312"/>
          <w:sz w:val="28"/>
          <w:szCs w:val="28"/>
          <w:lang w:val="en-US" w:eastAsia="zh-CN"/>
        </w:rPr>
        <w:t>生活补助及养老保险金共计：10.44万元。</w:t>
      </w:r>
      <w:bookmarkEnd w:id="3"/>
    </w:p>
    <w:p>
      <w:pPr>
        <w:pageBreakBefore w:val="0"/>
        <w:kinsoku/>
        <w:wordWrap/>
        <w:overflowPunct/>
        <w:topLinePunct w:val="0"/>
        <w:autoSpaceDE/>
        <w:autoSpaceDN/>
        <w:bidi w:val="0"/>
        <w:adjustRightInd/>
        <w:snapToGrid/>
        <w:spacing w:line="540" w:lineRule="exact"/>
        <w:ind w:firstLine="819" w:firstLineChars="300"/>
        <w:jc w:val="left"/>
        <w:textAlignment w:val="auto"/>
        <w:rPr>
          <w:rStyle w:val="18"/>
          <w:rFonts w:hint="eastAsia" w:ascii="仿宋_GB2312" w:hAnsi="仿宋_GB2312" w:eastAsia="仿宋_GB2312" w:cs="仿宋_GB2312"/>
          <w:b/>
          <w:bCs w:val="0"/>
          <w:spacing w:val="-4"/>
          <w:sz w:val="28"/>
          <w:szCs w:val="28"/>
          <w:highlight w:val="none"/>
          <w:lang w:val="en-US" w:eastAsia="zh-CN"/>
        </w:rPr>
      </w:pPr>
      <w:r>
        <w:rPr>
          <w:rStyle w:val="18"/>
          <w:rFonts w:hint="eastAsia" w:ascii="仿宋_GB2312" w:hAnsi="仿宋_GB2312" w:eastAsia="仿宋_GB2312" w:cs="仿宋_GB2312"/>
          <w:b/>
          <w:bCs w:val="0"/>
          <w:spacing w:val="-4"/>
          <w:sz w:val="28"/>
          <w:szCs w:val="28"/>
          <w:highlight w:val="none"/>
          <w:lang w:val="en-US" w:eastAsia="zh-CN"/>
        </w:rPr>
        <w:t>3.项目实施情况：</w:t>
      </w:r>
    </w:p>
    <w:p>
      <w:pPr>
        <w:pageBreakBefore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w:t>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)原来产企业盐湖化工厂领取暖气费的供养人员及遗孀共41人，三项经费合计；5.9万元，需缴纳5-6级工伤养老保险的3人，养老保险费合计；4.54万元。</w:t>
      </w:r>
    </w:p>
    <w:p>
      <w:pPr>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val="0"/>
          <w:sz w:val="28"/>
          <w:szCs w:val="28"/>
          <w:lang w:val="en-US" w:eastAsia="zh-CN"/>
        </w:rPr>
        <w:t>确保原破产企业盐湖化工厂供养、工伤人员暖气费、生活补助及养老保险金按时发放，指标完成率100%。让原破产企业盐湖供养、工伤人员深切感受到党和政府的关怀，效果显著满意度100%。</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546" w:firstLineChars="200"/>
        <w:jc w:val="both"/>
        <w:textAlignment w:val="auto"/>
        <w:rPr>
          <w:rStyle w:val="18"/>
          <w:rFonts w:hint="eastAsia" w:ascii="仿宋_GB2312" w:hAnsi="仿宋_GB2312" w:eastAsia="仿宋_GB2312" w:cs="仿宋_GB2312"/>
          <w:b/>
          <w:bCs w:val="0"/>
          <w:spacing w:val="-4"/>
          <w:sz w:val="28"/>
          <w:szCs w:val="28"/>
          <w:highlight w:val="none"/>
          <w:lang w:eastAsia="zh-CN"/>
        </w:rPr>
      </w:pPr>
      <w:r>
        <w:rPr>
          <w:rStyle w:val="18"/>
          <w:rFonts w:hint="eastAsia" w:ascii="仿宋_GB2312" w:hAnsi="仿宋_GB2312" w:eastAsia="仿宋_GB2312" w:cs="仿宋_GB2312"/>
          <w:b/>
          <w:bCs w:val="0"/>
          <w:spacing w:val="-4"/>
          <w:sz w:val="28"/>
          <w:szCs w:val="28"/>
          <w:highlight w:val="none"/>
          <w:lang w:val="en-US" w:eastAsia="zh-CN"/>
        </w:rPr>
        <w:t>4.</w:t>
      </w:r>
      <w:r>
        <w:rPr>
          <w:rStyle w:val="18"/>
          <w:rFonts w:hint="eastAsia" w:ascii="仿宋_GB2312" w:hAnsi="仿宋_GB2312" w:eastAsia="仿宋_GB2312" w:cs="仿宋_GB2312"/>
          <w:b/>
          <w:bCs w:val="0"/>
          <w:spacing w:val="-4"/>
          <w:sz w:val="28"/>
          <w:szCs w:val="28"/>
          <w:highlight w:val="none"/>
          <w:lang w:eastAsia="zh-CN"/>
        </w:rPr>
        <w:t>资金投入和使用情况：</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560" w:firstLineChars="200"/>
        <w:jc w:val="both"/>
        <w:textAlignment w:val="auto"/>
        <w:rPr>
          <w:rFonts w:hint="eastAsia" w:ascii="仿宋_GB2312" w:hAnsi="仿宋_GB2312" w:eastAsia="仿宋_GB2312" w:cs="仿宋_GB2312"/>
          <w:sz w:val="28"/>
          <w:szCs w:val="28"/>
          <w:lang w:val="en-US" w:eastAsia="zh-CN"/>
        </w:rPr>
      </w:pPr>
      <w:r>
        <w:rPr>
          <w:rStyle w:val="18"/>
          <w:rFonts w:hint="eastAsia" w:ascii="仿宋_GB2312" w:hAnsi="仿宋_GB2312" w:eastAsia="仿宋_GB2312" w:cs="仿宋_GB2312"/>
          <w:b w:val="0"/>
          <w:bCs/>
          <w:i w:val="0"/>
          <w:caps w:val="0"/>
          <w:color w:val="030303"/>
          <w:spacing w:val="0"/>
          <w:sz w:val="28"/>
          <w:szCs w:val="28"/>
          <w:shd w:val="clear" w:color="auto" w:fill="FFFFFF"/>
          <w:lang w:val="en-US" w:eastAsia="zh-CN"/>
        </w:rPr>
        <w:t>资金</w:t>
      </w:r>
      <w:r>
        <w:rPr>
          <w:rStyle w:val="18"/>
          <w:rFonts w:hint="eastAsia" w:ascii="仿宋_GB2312" w:hAnsi="仿宋_GB2312" w:eastAsia="仿宋_GB2312" w:cs="仿宋_GB2312"/>
          <w:b w:val="0"/>
          <w:bCs w:val="0"/>
          <w:spacing w:val="-4"/>
          <w:sz w:val="28"/>
          <w:szCs w:val="28"/>
          <w:lang w:eastAsia="zh-CN"/>
        </w:rPr>
        <w:t>投入情况：该项目年初预算数</w:t>
      </w:r>
      <w:r>
        <w:rPr>
          <w:rStyle w:val="18"/>
          <w:rFonts w:hint="eastAsia" w:ascii="仿宋_GB2312" w:hAnsi="仿宋_GB2312" w:eastAsia="仿宋_GB2312" w:cs="仿宋_GB2312"/>
          <w:b w:val="0"/>
          <w:bCs w:val="0"/>
          <w:i w:val="0"/>
          <w:caps w:val="0"/>
          <w:color w:val="030303"/>
          <w:spacing w:val="0"/>
          <w:sz w:val="28"/>
          <w:szCs w:val="28"/>
          <w:shd w:val="clear" w:color="auto" w:fill="FFFFFF"/>
          <w:lang w:val="en-US" w:eastAsia="zh-CN"/>
        </w:rPr>
        <w:t>10.44</w:t>
      </w:r>
      <w:r>
        <w:rPr>
          <w:rStyle w:val="18"/>
          <w:rFonts w:hint="eastAsia" w:ascii="仿宋_GB2312" w:hAnsi="仿宋_GB2312" w:eastAsia="仿宋_GB2312" w:cs="仿宋_GB2312"/>
          <w:b w:val="0"/>
          <w:bCs w:val="0"/>
          <w:spacing w:val="-4"/>
          <w:sz w:val="28"/>
          <w:szCs w:val="28"/>
          <w:lang w:eastAsia="zh-CN"/>
        </w:rPr>
        <w:t>万元，全年预算数</w:t>
      </w:r>
      <w:r>
        <w:rPr>
          <w:rStyle w:val="18"/>
          <w:rFonts w:hint="eastAsia" w:ascii="仿宋_GB2312" w:hAnsi="仿宋_GB2312" w:eastAsia="仿宋_GB2312" w:cs="仿宋_GB2312"/>
          <w:b w:val="0"/>
          <w:bCs w:val="0"/>
          <w:i w:val="0"/>
          <w:caps w:val="0"/>
          <w:color w:val="030303"/>
          <w:spacing w:val="0"/>
          <w:sz w:val="28"/>
          <w:szCs w:val="28"/>
          <w:shd w:val="clear" w:color="auto" w:fill="FFFFFF"/>
          <w:lang w:val="en-US" w:eastAsia="zh-CN"/>
        </w:rPr>
        <w:t>10.44</w:t>
      </w:r>
      <w:r>
        <w:rPr>
          <w:rStyle w:val="18"/>
          <w:rFonts w:hint="eastAsia" w:ascii="仿宋_GB2312" w:hAnsi="仿宋_GB2312" w:eastAsia="仿宋_GB2312" w:cs="仿宋_GB2312"/>
          <w:b w:val="0"/>
          <w:bCs w:val="0"/>
          <w:spacing w:val="-4"/>
          <w:sz w:val="28"/>
          <w:szCs w:val="28"/>
          <w:lang w:eastAsia="zh-CN"/>
        </w:rPr>
        <w:t>万元，实际总投入</w:t>
      </w:r>
      <w:r>
        <w:rPr>
          <w:rStyle w:val="18"/>
          <w:rFonts w:hint="eastAsia" w:ascii="仿宋_GB2312" w:hAnsi="仿宋_GB2312" w:eastAsia="仿宋_GB2312" w:cs="仿宋_GB2312"/>
          <w:b w:val="0"/>
          <w:bCs w:val="0"/>
          <w:spacing w:val="-4"/>
          <w:sz w:val="28"/>
          <w:szCs w:val="28"/>
          <w:lang w:val="en-US" w:eastAsia="zh-CN"/>
        </w:rPr>
        <w:t>10.44</w:t>
      </w:r>
      <w:r>
        <w:rPr>
          <w:rStyle w:val="18"/>
          <w:rFonts w:hint="eastAsia" w:ascii="仿宋_GB2312" w:hAnsi="仿宋_GB2312" w:eastAsia="仿宋_GB2312" w:cs="仿宋_GB2312"/>
          <w:b w:val="0"/>
          <w:bCs w:val="0"/>
          <w:spacing w:val="-4"/>
          <w:sz w:val="28"/>
          <w:szCs w:val="28"/>
          <w:lang w:eastAsia="zh-CN"/>
        </w:rPr>
        <w:t>万元，资金来源为</w:t>
      </w:r>
      <w:r>
        <w:rPr>
          <w:rStyle w:val="18"/>
          <w:rFonts w:hint="eastAsia" w:ascii="仿宋_GB2312" w:hAnsi="仿宋_GB2312" w:eastAsia="仿宋_GB2312" w:cs="仿宋_GB2312"/>
          <w:b w:val="0"/>
          <w:bCs w:val="0"/>
          <w:spacing w:val="-4"/>
          <w:sz w:val="28"/>
          <w:szCs w:val="28"/>
          <w:lang w:val="en-US" w:eastAsia="zh-CN"/>
        </w:rPr>
        <w:t>轻工行办合并破产企业遗留问题账户其他结余资金（非财政资金）</w:t>
      </w:r>
      <w:r>
        <w:rPr>
          <w:rStyle w:val="18"/>
          <w:rFonts w:hint="eastAsia" w:ascii="仿宋_GB2312" w:hAnsi="仿宋_GB2312" w:eastAsia="仿宋_GB2312" w:cs="仿宋_GB2312"/>
          <w:b w:val="0"/>
          <w:bCs w:val="0"/>
          <w:spacing w:val="-4"/>
          <w:sz w:val="28"/>
          <w:szCs w:val="28"/>
          <w:lang w:eastAsia="zh-CN"/>
        </w:rPr>
        <w:t>。</w:t>
      </w:r>
      <w:r>
        <w:rPr>
          <w:rFonts w:hint="eastAsia" w:ascii="仿宋_GB2312" w:hAnsi="仿宋_GB2312" w:eastAsia="仿宋_GB2312" w:cs="仿宋_GB2312"/>
          <w:b w:val="0"/>
          <w:bCs w:val="0"/>
          <w:sz w:val="28"/>
          <w:szCs w:val="28"/>
          <w:lang w:val="en-US" w:eastAsia="zh-CN"/>
        </w:rPr>
        <w:t>原新疆盐湖化工厂</w:t>
      </w:r>
      <w:r>
        <w:rPr>
          <w:rFonts w:hint="eastAsia" w:ascii="仿宋_GB2312" w:hAnsi="仿宋_GB2312" w:eastAsia="仿宋_GB2312" w:cs="仿宋_GB2312"/>
          <w:sz w:val="28"/>
          <w:szCs w:val="28"/>
          <w:lang w:val="en-US" w:eastAsia="zh-CN"/>
        </w:rPr>
        <w:t>符合领取暖气费的供养人员共计41人，领取工伤保险金的3人，共计报销补助资金10.44万元。</w:t>
      </w:r>
    </w:p>
    <w:p>
      <w:pPr>
        <w:keepNext w:val="0"/>
        <w:keepLines w:val="0"/>
        <w:pageBreakBefore w:val="0"/>
        <w:numPr>
          <w:ilvl w:val="0"/>
          <w:numId w:val="1"/>
        </w:numPr>
        <w:kinsoku/>
        <w:wordWrap/>
        <w:overflowPunct/>
        <w:topLinePunct w:val="0"/>
        <w:autoSpaceDE/>
        <w:autoSpaceDN/>
        <w:bidi w:val="0"/>
        <w:adjustRightInd/>
        <w:snapToGrid/>
        <w:spacing w:after="0" w:line="600" w:lineRule="exact"/>
        <w:ind w:right="0" w:rightChars="0" w:firstLine="313" w:firstLineChars="100"/>
        <w:textAlignment w:val="auto"/>
        <w:outlineLvl w:val="9"/>
        <w:rPr>
          <w:rStyle w:val="18"/>
          <w:rFonts w:hint="eastAsia" w:ascii="仿宋_GB2312" w:hAnsi="仿宋_GB2312" w:eastAsia="仿宋_GB2312" w:cs="仿宋_GB2312"/>
          <w:b/>
          <w:bCs/>
          <w:spacing w:val="-4"/>
          <w:sz w:val="32"/>
          <w:szCs w:val="32"/>
          <w:lang w:eastAsia="zh-CN"/>
        </w:rPr>
      </w:pPr>
      <w:r>
        <w:rPr>
          <w:rStyle w:val="18"/>
          <w:rFonts w:hint="eastAsia" w:ascii="仿宋_GB2312" w:hAnsi="仿宋_GB2312" w:eastAsia="仿宋_GB2312" w:cs="仿宋_GB2312"/>
          <w:b/>
          <w:bCs/>
          <w:spacing w:val="-4"/>
          <w:sz w:val="32"/>
          <w:szCs w:val="32"/>
        </w:rPr>
        <w:t>项目</w:t>
      </w:r>
      <w:r>
        <w:rPr>
          <w:rStyle w:val="18"/>
          <w:rFonts w:hint="eastAsia" w:ascii="仿宋_GB2312" w:hAnsi="仿宋_GB2312" w:eastAsia="仿宋_GB2312" w:cs="仿宋_GB2312"/>
          <w:b/>
          <w:bCs/>
          <w:spacing w:val="-4"/>
          <w:sz w:val="32"/>
          <w:szCs w:val="32"/>
          <w:lang w:eastAsia="zh-CN"/>
        </w:rPr>
        <w:t>绩效目标</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1.总</w:t>
      </w:r>
      <w:r>
        <w:rPr>
          <w:rFonts w:hint="eastAsia" w:ascii="仿宋_GB2312" w:hAnsi="仿宋_GB2312" w:eastAsia="仿宋_GB2312" w:cs="仿宋_GB2312"/>
          <w:sz w:val="28"/>
          <w:szCs w:val="28"/>
          <w:lang w:val="en-US" w:eastAsia="zh-CN"/>
        </w:rPr>
        <w:t>体</w:t>
      </w:r>
      <w:r>
        <w:rPr>
          <w:rFonts w:hint="eastAsia" w:ascii="仿宋_GB2312" w:hAnsi="仿宋_GB2312" w:eastAsia="仿宋_GB2312" w:cs="仿宋_GB2312"/>
          <w:sz w:val="28"/>
          <w:szCs w:val="28"/>
        </w:rPr>
        <w:t>目标</w:t>
      </w:r>
    </w:p>
    <w:p>
      <w:pPr>
        <w:spacing w:line="600" w:lineRule="exact"/>
        <w:ind w:firstLine="280" w:firstLineChars="100"/>
        <w:jc w:val="left"/>
        <w:outlineLvl w:val="0"/>
        <w:rPr>
          <w:rFonts w:hint="eastAsia" w:ascii="仿宋_GB2312" w:hAnsi="仿宋_GB2312" w:eastAsia="仿宋_GB2312" w:cs="仿宋_GB2312"/>
          <w:sz w:val="28"/>
          <w:szCs w:val="28"/>
        </w:rPr>
      </w:pPr>
      <w:bookmarkStart w:id="4" w:name="_Toc19783"/>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lang w:val="en-US" w:eastAsia="zh-CN"/>
        </w:rPr>
        <w:t>1</w:t>
      </w:r>
      <w:r>
        <w:rPr>
          <w:rFonts w:hint="eastAsia" w:ascii="仿宋_GB2312" w:hAnsi="仿宋_GB2312" w:eastAsia="仿宋_GB2312" w:cs="仿宋_GB2312"/>
          <w:i w:val="0"/>
          <w:caps w:val="0"/>
          <w:color w:val="030303"/>
          <w:spacing w:val="0"/>
          <w:sz w:val="28"/>
          <w:szCs w:val="28"/>
          <w:shd w:val="clear" w:color="auto" w:fill="FFFFFF"/>
          <w:lang w:eastAsia="zh-CN"/>
        </w:rPr>
        <w:t>）</w:t>
      </w:r>
      <w:r>
        <w:rPr>
          <w:rStyle w:val="18"/>
          <w:rFonts w:hint="eastAsia" w:ascii="仿宋_GB2312" w:hAnsi="仿宋_GB2312" w:eastAsia="仿宋_GB2312" w:cs="仿宋_GB2312"/>
          <w:b w:val="0"/>
          <w:bCs/>
          <w:spacing w:val="-4"/>
          <w:sz w:val="28"/>
          <w:szCs w:val="28"/>
          <w:lang w:val="en-US" w:eastAsia="zh-CN"/>
        </w:rPr>
        <w:t>认真贯彻落实党和政府给予破产企业退休职工生活待遇保障的相关政策，保障</w:t>
      </w:r>
      <w:r>
        <w:rPr>
          <w:rFonts w:hint="eastAsia" w:ascii="仿宋_GB2312" w:hAnsi="仿宋_GB2312" w:eastAsia="仿宋_GB2312" w:cs="仿宋_GB2312"/>
          <w:sz w:val="28"/>
          <w:szCs w:val="28"/>
        </w:rPr>
        <w:t>破产企业退休</w:t>
      </w:r>
      <w:r>
        <w:rPr>
          <w:rFonts w:hint="eastAsia" w:ascii="仿宋_GB2312" w:hAnsi="仿宋_GB2312" w:eastAsia="仿宋_GB2312" w:cs="仿宋_GB2312"/>
          <w:sz w:val="28"/>
          <w:szCs w:val="28"/>
          <w:lang w:val="en-US" w:eastAsia="zh-CN"/>
        </w:rPr>
        <w:t>职工</w:t>
      </w:r>
      <w:r>
        <w:rPr>
          <w:rFonts w:hint="eastAsia" w:ascii="仿宋_GB2312" w:hAnsi="仿宋_GB2312" w:eastAsia="仿宋_GB2312" w:cs="仿宋_GB2312"/>
          <w:sz w:val="28"/>
          <w:szCs w:val="28"/>
        </w:rPr>
        <w:t>基本生活，</w:t>
      </w:r>
      <w:r>
        <w:rPr>
          <w:rFonts w:hint="eastAsia" w:ascii="仿宋_GB2312" w:hAnsi="仿宋_GB2312" w:eastAsia="仿宋_GB2312" w:cs="仿宋_GB2312"/>
          <w:sz w:val="28"/>
          <w:szCs w:val="28"/>
          <w:lang w:eastAsia="zh-CN"/>
        </w:rPr>
        <w:t>让</w:t>
      </w:r>
      <w:r>
        <w:rPr>
          <w:rFonts w:hint="eastAsia" w:ascii="仿宋_GB2312" w:hAnsi="仿宋_GB2312" w:eastAsia="仿宋_GB2312" w:cs="仿宋_GB2312"/>
          <w:sz w:val="28"/>
          <w:szCs w:val="28"/>
        </w:rPr>
        <w:t>破产企业退休职工感受到党和政府的关怀，使他们能安度晚年，维护社会大局稳定。</w:t>
      </w:r>
      <w:bookmarkEnd w:id="4"/>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280" w:firstLineChars="100"/>
        <w:jc w:val="both"/>
        <w:textAlignment w:val="auto"/>
        <w:rPr>
          <w:rFonts w:hint="eastAsia" w:ascii="仿宋_GB2312" w:hAnsi="仿宋_GB2312" w:eastAsia="仿宋_GB2312" w:cs="仿宋_GB2312"/>
          <w:i w:val="0"/>
          <w:caps w:val="0"/>
          <w:color w:val="030303"/>
          <w:spacing w:val="0"/>
          <w:sz w:val="28"/>
          <w:szCs w:val="28"/>
          <w:shd w:val="clear" w:color="auto" w:fill="FFFFFF"/>
        </w:rPr>
      </w:pPr>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rPr>
        <w:t>2</w:t>
      </w:r>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rPr>
        <w:t>建立健全对</w:t>
      </w:r>
      <w:r>
        <w:rPr>
          <w:rFonts w:hint="eastAsia" w:ascii="仿宋_GB2312" w:hAnsi="仿宋_GB2312" w:eastAsia="仿宋_GB2312" w:cs="仿宋_GB2312"/>
          <w:i w:val="0"/>
          <w:caps w:val="0"/>
          <w:color w:val="030303"/>
          <w:spacing w:val="0"/>
          <w:sz w:val="28"/>
          <w:szCs w:val="28"/>
          <w:shd w:val="clear" w:color="auto" w:fill="FFFFFF"/>
          <w:lang w:eastAsia="zh-CN"/>
        </w:rPr>
        <w:t>原破产</w:t>
      </w:r>
      <w:r>
        <w:rPr>
          <w:rStyle w:val="18"/>
          <w:rFonts w:hint="eastAsia" w:ascii="仿宋_GB2312" w:hAnsi="仿宋_GB2312" w:eastAsia="仿宋_GB2312" w:cs="仿宋_GB2312"/>
          <w:b w:val="0"/>
          <w:bCs/>
          <w:spacing w:val="-4"/>
          <w:sz w:val="28"/>
          <w:szCs w:val="28"/>
          <w:lang w:val="en-US" w:eastAsia="zh-CN"/>
        </w:rPr>
        <w:t>企业盐湖化工厂供养、工伤人员及其遗属</w:t>
      </w:r>
      <w:r>
        <w:rPr>
          <w:rFonts w:hint="eastAsia" w:ascii="仿宋_GB2312" w:hAnsi="仿宋_GB2312" w:eastAsia="仿宋_GB2312" w:cs="仿宋_GB2312"/>
          <w:i w:val="0"/>
          <w:caps w:val="0"/>
          <w:color w:val="030303"/>
          <w:spacing w:val="0"/>
          <w:sz w:val="28"/>
          <w:szCs w:val="28"/>
          <w:shd w:val="clear" w:color="auto" w:fill="FFFFFF"/>
        </w:rPr>
        <w:t>管理、监督机制，提高规范化管理水平和服务质量。</w:t>
      </w:r>
    </w:p>
    <w:p>
      <w:pPr>
        <w:spacing w:line="600" w:lineRule="exact"/>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2、阶段性目标</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（1）前期准备：通过制定项目实施方案，经项目负责人审核通过后，有序开展后续工作。</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（2）组织实施：资金一到位，立即根据项目要求实施。项目责任人按照项目实施方案要求逐一进行项目部署，提高项目质量及效率。</w:t>
      </w:r>
    </w:p>
    <w:p>
      <w:pPr>
        <w:keepNext w:val="0"/>
        <w:keepLines w:val="0"/>
        <w:pageBreakBefore w:val="0"/>
        <w:kinsoku/>
        <w:wordWrap/>
        <w:overflowPunct/>
        <w:topLinePunct w:val="0"/>
        <w:autoSpaceDE/>
        <w:autoSpaceDN/>
        <w:bidi w:val="0"/>
        <w:adjustRightInd/>
        <w:snapToGrid/>
        <w:spacing w:after="0" w:line="600" w:lineRule="exact"/>
        <w:ind w:right="0" w:rightChars="0"/>
        <w:textAlignment w:val="auto"/>
        <w:outlineLvl w:val="0"/>
        <w:rPr>
          <w:rStyle w:val="18"/>
          <w:rFonts w:hint="eastAsia" w:ascii="仿宋_GB2312" w:hAnsi="仿宋_GB2312" w:eastAsia="仿宋_GB2312" w:cs="仿宋_GB2312"/>
          <w:b/>
          <w:bCs w:val="0"/>
          <w:spacing w:val="-4"/>
          <w:sz w:val="32"/>
          <w:szCs w:val="32"/>
          <w:lang w:eastAsia="zh-CN"/>
        </w:rPr>
      </w:pPr>
      <w:bookmarkStart w:id="5" w:name="_Toc30217"/>
      <w:r>
        <w:rPr>
          <w:rStyle w:val="18"/>
          <w:rFonts w:hint="eastAsia" w:ascii="仿宋_GB2312" w:hAnsi="仿宋_GB2312" w:eastAsia="仿宋_GB2312" w:cs="仿宋_GB2312"/>
          <w:b/>
          <w:bCs w:val="0"/>
          <w:spacing w:val="-4"/>
          <w:sz w:val="32"/>
          <w:szCs w:val="32"/>
          <w:lang w:eastAsia="zh-CN"/>
        </w:rPr>
        <w:t>二、绩效评价工作开展情况</w:t>
      </w:r>
      <w:bookmarkEnd w:id="5"/>
    </w:p>
    <w:p>
      <w:pPr>
        <w:keepNext w:val="0"/>
        <w:keepLines w:val="0"/>
        <w:pageBreakBefore w:val="0"/>
        <w:widowControl/>
        <w:kinsoku/>
        <w:wordWrap/>
        <w:overflowPunct/>
        <w:topLinePunct w:val="0"/>
        <w:autoSpaceDE/>
        <w:autoSpaceDN/>
        <w:bidi w:val="0"/>
        <w:adjustRightInd/>
        <w:snapToGrid/>
        <w:spacing w:after="0" w:line="600" w:lineRule="exact"/>
        <w:ind w:right="0" w:rightChars="0"/>
        <w:jc w:val="left"/>
        <w:textAlignment w:val="auto"/>
        <w:outlineLvl w:val="9"/>
        <w:rPr>
          <w:rStyle w:val="18"/>
          <w:rFonts w:hint="eastAsia" w:ascii="仿宋_GB2312" w:hAnsi="仿宋_GB2312" w:eastAsia="仿宋_GB2312" w:cs="仿宋_GB2312"/>
          <w:b/>
          <w:bCs w:val="0"/>
          <w:spacing w:val="-4"/>
          <w:sz w:val="28"/>
          <w:szCs w:val="28"/>
          <w:lang w:val="en-US" w:eastAsia="zh-CN"/>
        </w:rPr>
      </w:pPr>
      <w:r>
        <w:rPr>
          <w:rStyle w:val="18"/>
          <w:rFonts w:hint="eastAsia" w:ascii="仿宋_GB2312" w:hAnsi="仿宋_GB2312" w:eastAsia="仿宋_GB2312" w:cs="仿宋_GB2312"/>
          <w:b/>
          <w:bCs w:val="0"/>
          <w:spacing w:val="-4"/>
          <w:sz w:val="28"/>
          <w:szCs w:val="28"/>
        </w:rPr>
        <w:t>（一）绩效评价目的</w:t>
      </w:r>
      <w:r>
        <w:rPr>
          <w:rStyle w:val="18"/>
          <w:rFonts w:hint="eastAsia" w:ascii="仿宋_GB2312" w:hAnsi="仿宋_GB2312" w:eastAsia="仿宋_GB2312" w:cs="仿宋_GB2312"/>
          <w:b/>
          <w:bCs w:val="0"/>
          <w:spacing w:val="-4"/>
          <w:sz w:val="28"/>
          <w:szCs w:val="28"/>
          <w:lang w:eastAsia="zh-CN"/>
        </w:rPr>
        <w:t>、对象和范围</w:t>
      </w:r>
      <w:r>
        <w:rPr>
          <w:rStyle w:val="18"/>
          <w:rFonts w:hint="eastAsia" w:ascii="仿宋_GB2312" w:hAnsi="仿宋_GB2312" w:eastAsia="仿宋_GB2312" w:cs="仿宋_GB2312"/>
          <w:b/>
          <w:bCs w:val="0"/>
          <w:spacing w:val="-4"/>
          <w:sz w:val="28"/>
          <w:szCs w:val="28"/>
        </w:rPr>
        <w: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44" w:firstLineChars="200"/>
        <w:jc w:val="both"/>
        <w:textAlignment w:val="auto"/>
        <w:rPr>
          <w:rStyle w:val="18"/>
          <w:rFonts w:hint="eastAsia" w:ascii="仿宋_GB2312" w:hAnsi="仿宋_GB2312" w:eastAsia="仿宋_GB2312" w:cs="仿宋_GB2312"/>
          <w:b w:val="0"/>
          <w:bCs/>
          <w:spacing w:val="-4"/>
          <w:sz w:val="28"/>
          <w:szCs w:val="28"/>
        </w:rPr>
      </w:pPr>
      <w:r>
        <w:rPr>
          <w:rStyle w:val="18"/>
          <w:rFonts w:hint="eastAsia" w:ascii="仿宋_GB2312" w:hAnsi="仿宋_GB2312" w:eastAsia="仿宋_GB2312" w:cs="仿宋_GB2312"/>
          <w:b w:val="0"/>
          <w:bCs/>
          <w:spacing w:val="-4"/>
          <w:sz w:val="28"/>
          <w:szCs w:val="28"/>
          <w:lang w:eastAsia="zh-CN"/>
        </w:rPr>
        <w:t>绩效评价目的</w:t>
      </w:r>
      <w:r>
        <w:rPr>
          <w:rStyle w:val="18"/>
          <w:rFonts w:hint="eastAsia" w:ascii="仿宋_GB2312" w:hAnsi="仿宋_GB2312" w:eastAsia="仿宋_GB2312" w:cs="仿宋_GB2312"/>
          <w:b/>
          <w:bCs w:val="0"/>
          <w:spacing w:val="-4"/>
          <w:sz w:val="28"/>
          <w:szCs w:val="28"/>
          <w:lang w:eastAsia="zh-CN"/>
        </w:rPr>
        <w:t>：</w:t>
      </w:r>
      <w:r>
        <w:rPr>
          <w:rFonts w:hint="eastAsia" w:ascii="仿宋_GB2312" w:hAnsi="仿宋_GB2312" w:eastAsia="仿宋_GB2312" w:cs="仿宋_GB2312"/>
          <w:b w:val="0"/>
          <w:bCs w:val="0"/>
          <w:sz w:val="28"/>
          <w:szCs w:val="28"/>
          <w:lang w:val="en-US" w:eastAsia="zh-CN"/>
        </w:rPr>
        <w:t>本次评价目的是客观反映破产企业盐湖化工厂供养、工伤人员，</w:t>
      </w:r>
      <w:r>
        <w:rPr>
          <w:rStyle w:val="18"/>
          <w:rFonts w:hint="eastAsia" w:ascii="仿宋_GB2312" w:hAnsi="仿宋_GB2312" w:eastAsia="仿宋_GB2312" w:cs="仿宋_GB2312"/>
          <w:b w:val="0"/>
          <w:bCs/>
          <w:spacing w:val="-4"/>
          <w:sz w:val="28"/>
          <w:szCs w:val="28"/>
          <w:lang w:val="en-US" w:eastAsia="zh-CN"/>
        </w:rPr>
        <w:t>资金</w:t>
      </w:r>
      <w:r>
        <w:rPr>
          <w:rStyle w:val="18"/>
          <w:rFonts w:hint="eastAsia" w:ascii="仿宋_GB2312" w:hAnsi="仿宋_GB2312" w:eastAsia="仿宋_GB2312" w:cs="仿宋_GB2312"/>
          <w:b w:val="0"/>
          <w:bCs/>
          <w:spacing w:val="-4"/>
          <w:sz w:val="28"/>
          <w:szCs w:val="28"/>
          <w:lang w:eastAsia="zh-CN"/>
        </w:rPr>
        <w:t>项目的</w:t>
      </w:r>
      <w:r>
        <w:rPr>
          <w:rStyle w:val="18"/>
          <w:rFonts w:hint="eastAsia" w:ascii="仿宋_GB2312" w:hAnsi="仿宋_GB2312" w:eastAsia="仿宋_GB2312" w:cs="仿宋_GB2312"/>
          <w:b w:val="0"/>
          <w:bCs/>
          <w:spacing w:val="-4"/>
          <w:sz w:val="28"/>
          <w:szCs w:val="28"/>
          <w:lang w:val="en-US" w:eastAsia="zh-CN"/>
        </w:rPr>
        <w:t>管理情况、项目完成情况、职工满意度、取得的成绩，进而分析在政策制定、预算资金安排、</w:t>
      </w:r>
      <w:r>
        <w:rPr>
          <w:rStyle w:val="18"/>
          <w:rFonts w:hint="eastAsia" w:ascii="仿宋_GB2312" w:hAnsi="仿宋_GB2312" w:eastAsia="仿宋_GB2312" w:cs="仿宋_GB2312"/>
          <w:b w:val="0"/>
          <w:bCs/>
          <w:spacing w:val="-4"/>
          <w:sz w:val="28"/>
          <w:szCs w:val="28"/>
          <w:lang w:eastAsia="zh-CN"/>
        </w:rPr>
        <w:t>项目</w:t>
      </w:r>
      <w:r>
        <w:rPr>
          <w:rStyle w:val="18"/>
          <w:rFonts w:hint="eastAsia" w:ascii="仿宋_GB2312" w:hAnsi="仿宋_GB2312" w:eastAsia="仿宋_GB2312" w:cs="仿宋_GB2312"/>
          <w:b w:val="0"/>
          <w:bCs/>
          <w:spacing w:val="-4"/>
          <w:sz w:val="28"/>
          <w:szCs w:val="28"/>
          <w:lang w:val="en-US" w:eastAsia="zh-CN"/>
        </w:rPr>
        <w:t>管理等方面</w:t>
      </w:r>
      <w:r>
        <w:rPr>
          <w:rFonts w:hint="eastAsia" w:ascii="仿宋_GB2312" w:hAnsi="仿宋_GB2312" w:eastAsia="仿宋_GB2312" w:cs="仿宋_GB2312"/>
          <w:b w:val="0"/>
          <w:bCs w:val="0"/>
          <w:sz w:val="28"/>
          <w:szCs w:val="28"/>
          <w:lang w:val="en-US" w:eastAsia="zh-CN"/>
        </w:rPr>
        <w:t>存在的问题并提出针对性建议。</w:t>
      </w:r>
    </w:p>
    <w:p>
      <w:pPr>
        <w:keepNext w:val="0"/>
        <w:keepLines w:val="0"/>
        <w:pageBreakBefore w:val="0"/>
        <w:widowControl w:val="0"/>
        <w:kinsoku/>
        <w:wordWrap/>
        <w:overflowPunct/>
        <w:topLinePunct w:val="0"/>
        <w:autoSpaceDE/>
        <w:autoSpaceDN/>
        <w:bidi w:val="0"/>
        <w:adjustRightInd/>
        <w:snapToGrid/>
        <w:spacing w:line="480" w:lineRule="auto"/>
        <w:ind w:firstLine="272" w:firstLineChars="100"/>
        <w:jc w:val="both"/>
        <w:textAlignment w:val="auto"/>
        <w:rPr>
          <w:rFonts w:hint="eastAsia" w:ascii="仿宋_GB2312" w:hAnsi="仿宋_GB2312" w:eastAsia="仿宋_GB2312" w:cs="仿宋_GB2312"/>
          <w:kern w:val="0"/>
          <w:sz w:val="28"/>
          <w:szCs w:val="28"/>
          <w:lang w:val="en-US" w:eastAsia="zh-CN"/>
        </w:rPr>
      </w:pPr>
      <w:r>
        <w:rPr>
          <w:rStyle w:val="18"/>
          <w:rFonts w:hint="eastAsia" w:ascii="仿宋_GB2312" w:hAnsi="仿宋_GB2312" w:eastAsia="仿宋_GB2312" w:cs="仿宋_GB2312"/>
          <w:b w:val="0"/>
          <w:bCs/>
          <w:spacing w:val="-4"/>
          <w:sz w:val="28"/>
          <w:szCs w:val="28"/>
          <w:lang w:eastAsia="zh-CN"/>
        </w:rPr>
        <w:t>绩效评价对象：</w:t>
      </w:r>
      <w:r>
        <w:rPr>
          <w:rFonts w:hint="eastAsia" w:ascii="仿宋_GB2312" w:hAnsi="仿宋_GB2312" w:eastAsia="仿宋_GB2312" w:cs="仿宋_GB2312"/>
          <w:kern w:val="0"/>
          <w:sz w:val="28"/>
          <w:szCs w:val="28"/>
          <w:lang w:val="en-US" w:eastAsia="zh-CN"/>
        </w:rPr>
        <w:t>原破产企业职工暖气费生活补助及养老保险金</w:t>
      </w:r>
    </w:p>
    <w:p>
      <w:pPr>
        <w:keepNext w:val="0"/>
        <w:keepLines w:val="0"/>
        <w:pageBreakBefore w:val="0"/>
        <w:widowControl w:val="0"/>
        <w:kinsoku/>
        <w:wordWrap/>
        <w:overflowPunct/>
        <w:topLinePunct w:val="0"/>
        <w:autoSpaceDE/>
        <w:autoSpaceDN/>
        <w:bidi w:val="0"/>
        <w:adjustRightInd/>
        <w:snapToGrid/>
        <w:spacing w:line="480" w:lineRule="auto"/>
        <w:ind w:firstLine="272" w:firstLineChars="100"/>
        <w:jc w:val="both"/>
        <w:textAlignment w:val="auto"/>
        <w:rPr>
          <w:rFonts w:hint="eastAsia" w:ascii="仿宋_GB2312" w:hAnsi="仿宋_GB2312" w:eastAsia="仿宋_GB2312" w:cs="仿宋_GB2312"/>
          <w:i w:val="0"/>
          <w:caps w:val="0"/>
          <w:color w:val="030303"/>
          <w:spacing w:val="0"/>
          <w:sz w:val="28"/>
          <w:szCs w:val="28"/>
          <w:shd w:val="clear" w:color="auto" w:fill="FFFFFF"/>
          <w:lang w:eastAsia="zh-CN"/>
        </w:rPr>
      </w:pPr>
      <w:r>
        <w:rPr>
          <w:rStyle w:val="18"/>
          <w:rFonts w:hint="eastAsia" w:ascii="仿宋_GB2312" w:hAnsi="仿宋_GB2312" w:eastAsia="仿宋_GB2312" w:cs="仿宋_GB2312"/>
          <w:b w:val="0"/>
          <w:bCs/>
          <w:spacing w:val="-4"/>
          <w:sz w:val="28"/>
          <w:szCs w:val="28"/>
          <w:lang w:eastAsia="zh-CN"/>
        </w:rPr>
        <w:t>绩效评价范围：《</w:t>
      </w:r>
      <w:r>
        <w:rPr>
          <w:rFonts w:hint="eastAsia" w:ascii="仿宋_GB2312" w:hAnsi="仿宋_GB2312" w:eastAsia="仿宋_GB2312" w:cs="仿宋_GB2312"/>
          <w:kern w:val="0"/>
          <w:sz w:val="28"/>
          <w:szCs w:val="28"/>
          <w:lang w:val="en-US" w:eastAsia="zh-CN"/>
        </w:rPr>
        <w:t>原破产企业职工暖气费生活补助及养老保险金》</w:t>
      </w:r>
      <w:r>
        <w:rPr>
          <w:rFonts w:hint="eastAsia" w:ascii="仿宋_GB2312" w:hAnsi="仿宋_GB2312" w:eastAsia="仿宋_GB2312" w:cs="仿宋_GB2312"/>
          <w:i w:val="0"/>
          <w:caps w:val="0"/>
          <w:color w:val="030303"/>
          <w:spacing w:val="0"/>
          <w:sz w:val="28"/>
          <w:szCs w:val="28"/>
          <w:shd w:val="clear" w:color="auto" w:fill="FFFFFF"/>
          <w:lang w:eastAsia="zh-CN"/>
        </w:rPr>
        <w:t>项目决策（包括绩效目标、决策过程）、项目管理（包括项目资金、项目实施）、项目产出（包括项目产出数量、产出质量、产出时效和产出成本）项目效益四个维度进行评价，评价核心为专项资金的支出完成情况和效果。</w:t>
      </w:r>
    </w:p>
    <w:p>
      <w:pPr>
        <w:spacing w:line="600" w:lineRule="exact"/>
      </w:pPr>
      <w:r>
        <w:rPr>
          <w:rFonts w:eastAsia="楷体_GB2312"/>
          <w:b/>
          <w:bCs/>
          <w:sz w:val="32"/>
          <w:szCs w:val="32"/>
        </w:rPr>
        <w:t>（二）绩效评价原则、评价指标体系（详情见表1）、评价方法、评价标准。</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272" w:firstLineChars="100"/>
        <w:jc w:val="both"/>
        <w:textAlignment w:val="auto"/>
        <w:rPr>
          <w:rStyle w:val="18"/>
          <w:rFonts w:hint="eastAsia" w:ascii="仿宋_GB2312" w:hAnsi="仿宋_GB2312" w:eastAsia="仿宋_GB2312" w:cs="仿宋_GB2312"/>
          <w:b w:val="0"/>
          <w:bCs/>
          <w:spacing w:val="-4"/>
          <w:sz w:val="28"/>
          <w:szCs w:val="28"/>
        </w:rPr>
      </w:pPr>
      <w:r>
        <w:rPr>
          <w:rStyle w:val="18"/>
          <w:rFonts w:hint="eastAsia" w:ascii="仿宋_GB2312" w:hAnsi="仿宋_GB2312" w:eastAsia="仿宋_GB2312" w:cs="仿宋_GB2312"/>
          <w:b w:val="0"/>
          <w:bCs/>
          <w:spacing w:val="-4"/>
          <w:sz w:val="28"/>
          <w:szCs w:val="28"/>
          <w:lang w:val="en-US" w:eastAsia="zh-CN"/>
        </w:rPr>
        <w:t>1、</w:t>
      </w:r>
      <w:r>
        <w:rPr>
          <w:rStyle w:val="18"/>
          <w:rFonts w:hint="eastAsia" w:ascii="仿宋_GB2312" w:hAnsi="仿宋_GB2312" w:eastAsia="仿宋_GB2312" w:cs="仿宋_GB2312"/>
          <w:b w:val="0"/>
          <w:bCs/>
          <w:spacing w:val="-4"/>
          <w:sz w:val="28"/>
          <w:szCs w:val="28"/>
        </w:rPr>
        <w:t>绩效评价原则</w:t>
      </w:r>
    </w:p>
    <w:p>
      <w:pPr>
        <w:keepNext w:val="0"/>
        <w:keepLines w:val="0"/>
        <w:pageBreakBefore w:val="0"/>
        <w:kinsoku/>
        <w:wordWrap/>
        <w:overflowPunct/>
        <w:topLinePunct w:val="0"/>
        <w:autoSpaceDE/>
        <w:autoSpaceDN/>
        <w:bidi w:val="0"/>
        <w:adjustRightInd/>
        <w:snapToGrid/>
        <w:spacing w:after="0" w:line="540" w:lineRule="exact"/>
        <w:ind w:right="0" w:rightChars="0" w:firstLine="560" w:firstLineChars="20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（1）科学公正。绩效评价应当运用科学合理的方法，按照规范的程序，对项目绩效进行客观、公正的反映。</w:t>
      </w:r>
    </w:p>
    <w:p>
      <w:pPr>
        <w:keepNext w:val="0"/>
        <w:keepLines w:val="0"/>
        <w:pageBreakBefore w:val="0"/>
        <w:kinsoku/>
        <w:wordWrap/>
        <w:overflowPunct/>
        <w:topLinePunct w:val="0"/>
        <w:autoSpaceDE/>
        <w:autoSpaceDN/>
        <w:bidi w:val="0"/>
        <w:adjustRightInd/>
        <w:snapToGrid/>
        <w:spacing w:after="0" w:line="540" w:lineRule="exact"/>
        <w:ind w:right="0" w:rightChars="0" w:firstLine="560" w:firstLineChars="20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keepNext w:val="0"/>
        <w:keepLines w:val="0"/>
        <w:pageBreakBefore w:val="0"/>
        <w:kinsoku/>
        <w:wordWrap/>
        <w:overflowPunct/>
        <w:topLinePunct w:val="0"/>
        <w:autoSpaceDE/>
        <w:autoSpaceDN/>
        <w:bidi w:val="0"/>
        <w:adjustRightInd/>
        <w:snapToGrid/>
        <w:spacing w:after="0" w:line="540" w:lineRule="exact"/>
        <w:ind w:right="0" w:rightChars="0" w:firstLine="560" w:firstLineChars="20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（3）激励约束。绩效评价结果应与预算安排、政策调整、改进管理实质性挂钩，体现奖优罚劣和激励相容导向，有效要安排、低效要压减、无效要问责。</w:t>
      </w:r>
    </w:p>
    <w:p>
      <w:pPr>
        <w:keepNext w:val="0"/>
        <w:keepLines w:val="0"/>
        <w:pageBreakBefore w:val="0"/>
        <w:kinsoku/>
        <w:wordWrap/>
        <w:overflowPunct/>
        <w:topLinePunct w:val="0"/>
        <w:autoSpaceDE/>
        <w:autoSpaceDN/>
        <w:bidi w:val="0"/>
        <w:adjustRightInd/>
        <w:snapToGrid/>
        <w:spacing w:after="0" w:line="540" w:lineRule="exact"/>
        <w:ind w:right="0" w:rightChars="0" w:firstLine="560" w:firstLineChars="20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（4）公开透明。绩效评价结果应依法依规公开，并自觉接受社会监督。</w:t>
      </w:r>
    </w:p>
    <w:p>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544" w:firstLineChars="200"/>
        <w:jc w:val="left"/>
        <w:textAlignment w:val="auto"/>
        <w:outlineLvl w:val="9"/>
        <w:rPr>
          <w:rStyle w:val="18"/>
          <w:rFonts w:hint="eastAsia" w:ascii="仿宋_GB2312" w:hAnsi="仿宋_GB2312" w:eastAsia="仿宋_GB2312" w:cs="仿宋_GB2312"/>
          <w:b w:val="0"/>
          <w:bCs/>
          <w:spacing w:val="-4"/>
          <w:sz w:val="28"/>
          <w:szCs w:val="28"/>
        </w:rPr>
      </w:pPr>
      <w:r>
        <w:rPr>
          <w:rStyle w:val="18"/>
          <w:rFonts w:hint="eastAsia" w:ascii="仿宋_GB2312" w:hAnsi="仿宋_GB2312" w:eastAsia="仿宋_GB2312" w:cs="仿宋_GB2312"/>
          <w:b w:val="0"/>
          <w:bCs/>
          <w:spacing w:val="-4"/>
          <w:sz w:val="28"/>
          <w:szCs w:val="28"/>
          <w:lang w:val="en-US" w:eastAsia="zh-CN"/>
        </w:rPr>
        <w:t>2、</w:t>
      </w:r>
      <w:r>
        <w:rPr>
          <w:rStyle w:val="18"/>
          <w:rFonts w:hint="eastAsia" w:ascii="仿宋_GB2312" w:hAnsi="仿宋_GB2312" w:eastAsia="仿宋_GB2312" w:cs="仿宋_GB2312"/>
          <w:b w:val="0"/>
          <w:bCs/>
          <w:spacing w:val="-4"/>
          <w:sz w:val="28"/>
          <w:szCs w:val="28"/>
        </w:rPr>
        <w:t>评价指标体系</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绩效评价框架是开展绩效评价的核心。绩效评价框架包括评价准则、关键评价问题、评价指标、数据来源、数据收集方法等。指标体系建立过程如下：</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（1）确定评价指标</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（2）确定权重</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确定各个指标相对于项目总体绩效的权重分值。在绩效评价指标体系中，项目决策权重为</w:t>
      </w:r>
      <w:r>
        <w:rPr>
          <w:rFonts w:hint="eastAsia" w:ascii="仿宋_GB2312" w:hAnsi="仿宋_GB2312" w:eastAsia="仿宋_GB2312" w:cs="仿宋_GB2312"/>
          <w:color w:val="000000"/>
          <w:spacing w:val="17"/>
          <w:sz w:val="28"/>
          <w:szCs w:val="28"/>
          <w:lang w:val="en-US" w:eastAsia="zh-CN"/>
        </w:rPr>
        <w:t>20</w:t>
      </w:r>
      <w:r>
        <w:rPr>
          <w:rFonts w:hint="eastAsia" w:ascii="仿宋_GB2312" w:hAnsi="仿宋_GB2312" w:eastAsia="仿宋_GB2312" w:cs="仿宋_GB2312"/>
          <w:color w:val="000000"/>
          <w:spacing w:val="17"/>
          <w:sz w:val="28"/>
          <w:szCs w:val="28"/>
        </w:rPr>
        <w:t>分，项目过程权重为</w:t>
      </w:r>
      <w:r>
        <w:rPr>
          <w:rFonts w:hint="eastAsia" w:ascii="仿宋_GB2312" w:hAnsi="仿宋_GB2312" w:eastAsia="仿宋_GB2312" w:cs="仿宋_GB2312"/>
          <w:color w:val="000000"/>
          <w:spacing w:val="17"/>
          <w:sz w:val="28"/>
          <w:szCs w:val="28"/>
          <w:lang w:val="en-US" w:eastAsia="zh-CN"/>
        </w:rPr>
        <w:t>20</w:t>
      </w:r>
      <w:r>
        <w:rPr>
          <w:rFonts w:hint="eastAsia" w:ascii="仿宋_GB2312" w:hAnsi="仿宋_GB2312" w:eastAsia="仿宋_GB2312" w:cs="仿宋_GB2312"/>
          <w:color w:val="000000"/>
          <w:spacing w:val="17"/>
          <w:sz w:val="28"/>
          <w:szCs w:val="28"/>
        </w:rPr>
        <w:t>分，项目产出权重为</w:t>
      </w:r>
      <w:r>
        <w:rPr>
          <w:rFonts w:hint="eastAsia" w:ascii="仿宋_GB2312" w:hAnsi="仿宋_GB2312" w:eastAsia="仿宋_GB2312" w:cs="仿宋_GB2312"/>
          <w:color w:val="000000"/>
          <w:spacing w:val="17"/>
          <w:sz w:val="28"/>
          <w:szCs w:val="28"/>
          <w:lang w:val="en-US" w:eastAsia="zh-CN"/>
        </w:rPr>
        <w:t>40</w:t>
      </w:r>
      <w:r>
        <w:rPr>
          <w:rFonts w:hint="eastAsia" w:ascii="仿宋_GB2312" w:hAnsi="仿宋_GB2312" w:eastAsia="仿宋_GB2312" w:cs="仿宋_GB2312"/>
          <w:color w:val="000000"/>
          <w:spacing w:val="17"/>
          <w:sz w:val="28"/>
          <w:szCs w:val="28"/>
        </w:rPr>
        <w:t>分，项目效益权重为</w:t>
      </w:r>
      <w:r>
        <w:rPr>
          <w:rFonts w:hint="eastAsia" w:ascii="仿宋_GB2312" w:hAnsi="仿宋_GB2312" w:eastAsia="仿宋_GB2312" w:cs="仿宋_GB2312"/>
          <w:color w:val="000000"/>
          <w:spacing w:val="17"/>
          <w:sz w:val="28"/>
          <w:szCs w:val="28"/>
          <w:lang w:val="en-US" w:eastAsia="zh-CN"/>
        </w:rPr>
        <w:t>20</w:t>
      </w:r>
      <w:r>
        <w:rPr>
          <w:rFonts w:hint="eastAsia" w:ascii="仿宋_GB2312" w:hAnsi="仿宋_GB2312" w:eastAsia="仿宋_GB2312" w:cs="仿宋_GB2312"/>
          <w:color w:val="000000"/>
          <w:spacing w:val="17"/>
          <w:sz w:val="28"/>
          <w:szCs w:val="28"/>
        </w:rPr>
        <w:t>分。</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（3）确定指标标准值</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指标标准值是绩效评价指标的尺度，既要反映同类项目的先进水平，又要符合项目的实际绩效水平。具体采用计划标准等确定此次绩效评价指标标准值。</w:t>
      </w:r>
    </w:p>
    <w:p>
      <w:pPr>
        <w:pStyle w:val="12"/>
        <w:spacing w:before="0" w:after="0" w:line="600" w:lineRule="exact"/>
        <w:ind w:firstLine="628" w:firstLineChars="200"/>
        <w:jc w:val="both"/>
        <w:rPr>
          <w:rFonts w:hint="eastAsia" w:ascii="仿宋_GB2312" w:hAnsi="仿宋_GB2312" w:eastAsia="仿宋_GB2312" w:cs="仿宋_GB2312"/>
          <w:b w:val="0"/>
          <w:bCs w:val="0"/>
          <w:color w:val="000000"/>
          <w:spacing w:val="17"/>
          <w:kern w:val="2"/>
          <w:sz w:val="28"/>
          <w:szCs w:val="28"/>
        </w:rPr>
      </w:pPr>
      <w:r>
        <w:rPr>
          <w:rFonts w:hint="eastAsia" w:ascii="仿宋_GB2312" w:hAnsi="仿宋_GB2312" w:eastAsia="仿宋_GB2312" w:cs="仿宋_GB2312"/>
          <w:b w:val="0"/>
          <w:bCs w:val="0"/>
          <w:color w:val="000000"/>
          <w:spacing w:val="17"/>
          <w:kern w:val="2"/>
          <w:sz w:val="28"/>
          <w:szCs w:val="28"/>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2"/>
        <w:widowControl w:val="0"/>
        <w:spacing w:before="0" w:after="0" w:line="600" w:lineRule="exact"/>
        <w:ind w:firstLine="628" w:firstLineChars="200"/>
        <w:jc w:val="both"/>
        <w:outlineLvl w:val="9"/>
        <w:rPr>
          <w:rFonts w:hint="eastAsia" w:ascii="仿宋_GB2312" w:hAnsi="仿宋_GB2312" w:eastAsia="仿宋_GB2312" w:cs="仿宋_GB2312"/>
          <w:b w:val="0"/>
          <w:bCs w:val="0"/>
          <w:color w:val="000000"/>
          <w:spacing w:val="17"/>
          <w:sz w:val="28"/>
          <w:szCs w:val="28"/>
        </w:rPr>
      </w:pPr>
      <w:r>
        <w:rPr>
          <w:rFonts w:hint="eastAsia" w:ascii="仿宋_GB2312" w:hAnsi="仿宋_GB2312" w:eastAsia="仿宋_GB2312" w:cs="仿宋_GB2312"/>
          <w:b w:val="0"/>
          <w:bCs w:val="0"/>
          <w:color w:val="000000"/>
          <w:spacing w:val="17"/>
          <w:sz w:val="28"/>
          <w:szCs w:val="28"/>
        </w:rPr>
        <w:t>具体评价指标体系详情见附件1</w:t>
      </w:r>
    </w:p>
    <w:p>
      <w:pPr>
        <w:pStyle w:val="12"/>
        <w:widowControl w:val="0"/>
        <w:spacing w:before="0" w:after="0" w:line="600" w:lineRule="exact"/>
        <w:ind w:firstLine="560" w:firstLineChars="200"/>
        <w:jc w:val="both"/>
        <w:outlineLvl w:val="9"/>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3、绩效评价方法</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绩效评价从项目决策、项目过程、项目产出、项目效益四个维度进行评价。评价对象为项目目标实施情况，  评价核心为资金的支出完成情况和项目的产出效益。</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本次评价指标中，既有定性指标又有定量指标，各类指标因考核内容不同和客观标准不同存在较大差异，因此核定具体指标时采用了不同方法，具体评价方法如下：</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（1）比较法</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通过对绩效目标与实施效果、历史与当期情况，综合分析绩效目标实现程度。对</w:t>
      </w:r>
      <w:r>
        <w:rPr>
          <w:rFonts w:hint="eastAsia" w:ascii="仿宋_GB2312" w:hAnsi="仿宋_GB2312" w:eastAsia="仿宋_GB2312" w:cs="仿宋_GB2312"/>
          <w:sz w:val="28"/>
          <w:szCs w:val="28"/>
        </w:rPr>
        <w:t>项目</w:t>
      </w:r>
      <w:r>
        <w:rPr>
          <w:rFonts w:hint="eastAsia" w:ascii="仿宋_GB2312" w:hAnsi="仿宋_GB2312" w:eastAsia="仿宋_GB2312" w:cs="仿宋_GB2312"/>
          <w:color w:val="000000"/>
          <w:spacing w:val="17"/>
          <w:sz w:val="28"/>
          <w:szCs w:val="28"/>
        </w:rPr>
        <w:t>最终验收情况与年度绩效目标对比、预算资金执行情况等相关因素进行比较。</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（2）因素分析法</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通过综合分析影响绩效目标实现、实施效果的内外因素，评价绩效目标实现程度。通过对</w:t>
      </w:r>
      <w:r>
        <w:rPr>
          <w:rFonts w:hint="eastAsia" w:ascii="仿宋_GB2312" w:hAnsi="仿宋_GB2312" w:eastAsia="仿宋_GB2312" w:cs="仿宋_GB2312"/>
          <w:sz w:val="28"/>
          <w:szCs w:val="28"/>
        </w:rPr>
        <w:t>项目</w:t>
      </w:r>
      <w:r>
        <w:rPr>
          <w:rFonts w:hint="eastAsia" w:ascii="仿宋_GB2312" w:hAnsi="仿宋_GB2312" w:eastAsia="仿宋_GB2312" w:cs="仿宋_GB2312"/>
          <w:color w:val="000000"/>
          <w:spacing w:val="17"/>
          <w:sz w:val="28"/>
          <w:szCs w:val="28"/>
        </w:rPr>
        <w:t>的开展情况、项目产出数量、成本控制、资金拨付文件及自评报告等相关资料的收集和审核，综合分析各因素对绩效目标实现的影响。</w:t>
      </w:r>
    </w:p>
    <w:p>
      <w:pPr>
        <w:pStyle w:val="12"/>
        <w:widowControl w:val="0"/>
        <w:spacing w:before="0" w:after="0" w:line="600" w:lineRule="exact"/>
        <w:ind w:firstLine="560" w:firstLineChars="200"/>
        <w:jc w:val="both"/>
        <w:outlineLvl w:val="9"/>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4、评价标准</w:t>
      </w:r>
    </w:p>
    <w:p>
      <w:pPr>
        <w:spacing w:line="600" w:lineRule="exact"/>
        <w:ind w:firstLine="628" w:firstLineChars="200"/>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绩效评价标准通常包括计划标准、行业标准、历史标准等，用于对绩效指标完成情况进行比较。本次评价主要采用了计划标准。</w:t>
      </w:r>
    </w:p>
    <w:p>
      <w:pPr>
        <w:pStyle w:val="12"/>
        <w:numPr>
          <w:ilvl w:val="0"/>
          <w:numId w:val="2"/>
        </w:numPr>
        <w:spacing w:before="0" w:after="0" w:line="600" w:lineRule="exact"/>
        <w:ind w:left="-710" w:leftChars="0" w:firstLine="710" w:firstLineChars="0"/>
        <w:jc w:val="both"/>
        <w:rPr>
          <w:rFonts w:hint="eastAsia" w:ascii="仿宋_GB2312" w:hAnsi="仿宋_GB2312" w:eastAsia="仿宋_GB2312" w:cs="仿宋_GB2312"/>
          <w:color w:val="000000"/>
          <w:spacing w:val="17"/>
          <w:sz w:val="28"/>
          <w:szCs w:val="28"/>
        </w:rPr>
      </w:pPr>
      <w:r>
        <w:rPr>
          <w:rFonts w:hint="eastAsia" w:ascii="仿宋_GB2312" w:hAnsi="仿宋_GB2312" w:eastAsia="仿宋_GB2312" w:cs="仿宋_GB2312"/>
          <w:color w:val="000000"/>
          <w:spacing w:val="17"/>
          <w:sz w:val="28"/>
          <w:szCs w:val="28"/>
        </w:rPr>
        <w:t>绩效评价工作过程</w:t>
      </w:r>
    </w:p>
    <w:p>
      <w:pPr>
        <w:numPr>
          <w:ilvl w:val="0"/>
          <w:numId w:val="3"/>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3"/>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3"/>
        </w:num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分析评价。根据收集梳理的资料</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围绕项目立项、资金落实、业务管理、财务管理、项目产出、项目效益等内容，对照已确定的绩效评价指标进行详细全面的分析评价，逐项打分并形成绩效评价最终结果。</w:t>
      </w:r>
    </w:p>
    <w:p>
      <w:pPr>
        <w:numPr>
          <w:ilvl w:val="0"/>
          <w:numId w:val="0"/>
        </w:numPr>
        <w:spacing w:line="60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综合评价情况及评价结论（附相关评分表）</w:t>
      </w:r>
    </w:p>
    <w:p>
      <w:pPr>
        <w:keepNext w:val="0"/>
        <w:keepLines w:val="0"/>
        <w:pageBreakBefore w:val="0"/>
        <w:kinsoku/>
        <w:wordWrap/>
        <w:overflowPunct/>
        <w:topLinePunct w:val="0"/>
        <w:autoSpaceDE/>
        <w:autoSpaceDN/>
        <w:bidi w:val="0"/>
        <w:adjustRightInd/>
        <w:snapToGrid/>
        <w:spacing w:line="600" w:lineRule="exact"/>
        <w:ind w:firstLine="840" w:firstLineChars="300"/>
        <w:jc w:val="both"/>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对原破产企业职工暖气费生活补助及养老保险金项目进行客观评价，最终评分结果：总得分为 98分，属于“优”。其中，项目决策类指标权重为20分，得分为 20分，得分率为 100%。项目过程类指标权重为20分，得分为20分，得分率为 100%。项目产出类指标权重为40分，得分为38分，得分率为 95%。项目效益类指标权重为20分，得分为20分，得分率为100%。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具体打分情况详见：附件1综合评分表。</w:t>
      </w:r>
    </w:p>
    <w:tbl>
      <w:tblPr>
        <w:tblStyle w:val="15"/>
        <w:tblpPr w:leftFromText="180" w:rightFromText="180" w:vertAnchor="text" w:horzAnchor="page" w:tblpX="2388" w:tblpY="301"/>
        <w:tblOverlap w:val="never"/>
        <w:tblW w:w="7583" w:type="dxa"/>
        <w:tblInd w:w="0" w:type="dxa"/>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得分</w:t>
            </w:r>
          </w:p>
        </w:tc>
      </w:tr>
      <w:tr>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p>
        </w:tc>
      </w:tr>
      <w:tr>
        <w:tblPrEx>
          <w:tblCellMar>
            <w:top w:w="0" w:type="dxa"/>
            <w:left w:w="108" w:type="dxa"/>
            <w:bottom w:w="0" w:type="dxa"/>
            <w:right w:w="108" w:type="dxa"/>
          </w:tblCellMar>
        </w:tblPrEx>
        <w:trPr>
          <w:trHeight w:val="432" w:hRule="atLeast"/>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p>
        </w:tc>
      </w:tr>
      <w:tr>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40</w:t>
            </w:r>
          </w:p>
        </w:tc>
      </w:tr>
      <w:tr>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p>
        </w:tc>
      </w:tr>
      <w:tr>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100</w:t>
            </w:r>
          </w:p>
        </w:tc>
      </w:tr>
    </w:tbl>
    <w:p>
      <w:pPr>
        <w:spacing w:line="600" w:lineRule="exact"/>
        <w:ind w:firstLine="562" w:firstLineChars="200"/>
        <w:rPr>
          <w:rFonts w:hint="eastAsia"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b/>
          <w:bCs/>
          <w:i w:val="0"/>
          <w:caps w:val="0"/>
          <w:color w:val="030303"/>
          <w:spacing w:val="0"/>
          <w:kern w:val="0"/>
          <w:sz w:val="28"/>
          <w:szCs w:val="28"/>
          <w:shd w:val="clear" w:color="auto" w:fill="FFFFFF"/>
          <w:lang w:val="en-US" w:eastAsia="zh-CN" w:bidi="ar"/>
        </w:rPr>
        <w:t>四、绩效评价指标分析</w:t>
      </w:r>
    </w:p>
    <w:p>
      <w:pPr>
        <w:pStyle w:val="12"/>
        <w:ind w:firstLine="562" w:firstLineChars="200"/>
        <w:jc w:val="both"/>
        <w:rPr>
          <w:rFonts w:hint="eastAsia"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项目决策类指标包括项目立项、绩效目标和资金投入三方面的内容，由</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6</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个三级指标构成，权重分值为</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分，实际得分</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分，得分率为</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100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1.项目立项</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（1）立项依据充分性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（2）立项程序规范性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项目申请、设立过程符合相关要求，</w:t>
      </w:r>
      <w:r>
        <w:rPr>
          <w:rFonts w:hint="default" w:ascii="仿宋_GB2312" w:hAnsi="仿宋_GB2312" w:eastAsia="仿宋_GB2312" w:cs="仿宋_GB2312"/>
          <w:i w:val="0"/>
          <w:caps w:val="0"/>
          <w:color w:val="030303"/>
          <w:spacing w:val="0"/>
          <w:kern w:val="0"/>
          <w:sz w:val="28"/>
          <w:szCs w:val="28"/>
          <w:shd w:val="clear" w:color="auto" w:fill="FFFFFF"/>
          <w:lang w:val="en-US" w:eastAsia="zh-Hans" w:bidi="ar"/>
        </w:rPr>
        <w:t>严格按照审批流程准备符合要求的文件、材料；</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2.绩效目标</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（1）绩效目标合理性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Hans" w:bidi="ar"/>
        </w:rPr>
        <w:t>年初结合实际工作内容</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设定绩效目标</w:t>
      </w:r>
      <w:r>
        <w:rPr>
          <w:rFonts w:hint="default" w:ascii="仿宋_GB2312" w:hAnsi="仿宋_GB2312" w:eastAsia="仿宋_GB2312" w:cs="仿宋_GB2312"/>
          <w:i w:val="0"/>
          <w:caps w:val="0"/>
          <w:color w:val="030303"/>
          <w:spacing w:val="0"/>
          <w:kern w:val="0"/>
          <w:sz w:val="28"/>
          <w:szCs w:val="28"/>
          <w:shd w:val="clear" w:color="auto" w:fill="FFFFFF"/>
          <w:lang w:val="en-US" w:eastAsia="zh-Hans" w:bidi="ar"/>
        </w:rPr>
        <w:t>，绩效目标</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（2）绩效指标明确性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3.资金投入</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b/>
          <w:bCs/>
          <w:i w:val="0"/>
          <w:caps w:val="0"/>
          <w:color w:val="030303"/>
          <w:spacing w:val="0"/>
          <w:kern w:val="0"/>
          <w:sz w:val="28"/>
          <w:szCs w:val="28"/>
          <w:shd w:val="clear" w:color="auto" w:fill="FFFFFF"/>
          <w:lang w:val="en-US" w:eastAsia="zh-CN" w:bidi="ar"/>
        </w:rPr>
        <w:t>（二）</w:t>
      </w: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项目过程类指标包括资金管理和组织实施两方面的内容，由</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6</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个三级指标构成，权重分值为</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分，实际得分</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20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分，得分率为</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100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1.资金管理</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（1）资金到位率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本项目总投资</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10.44</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万元，财政资金及时足额到位，到位率</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100</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%，预算资金按计划进度执行。</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（2）预算执行率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预算编制较为详细，项目资金支出总体能够按照预算执行，预算资金支出</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10.35</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万元，预算执行率为</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99.14</w:t>
      </w: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2.组织实施</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b/>
          <w:bCs/>
          <w:i w:val="0"/>
          <w:caps w:val="0"/>
          <w:color w:val="030303"/>
          <w:spacing w:val="0"/>
          <w:kern w:val="0"/>
          <w:sz w:val="28"/>
          <w:szCs w:val="28"/>
          <w:shd w:val="clear" w:color="auto" w:fill="FFFFFF"/>
          <w:lang w:val="en-US" w:eastAsia="zh-CN" w:bidi="ar"/>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i w:val="0"/>
          <w:caps w:val="0"/>
          <w:color w:val="030303"/>
          <w:spacing w:val="0"/>
          <w:kern w:val="0"/>
          <w:sz w:val="28"/>
          <w:szCs w:val="28"/>
          <w:shd w:val="clear" w:color="auto" w:fill="FFFFFF"/>
          <w:lang w:val="en-US" w:eastAsia="zh-CN" w:bidi="ar"/>
        </w:rPr>
      </w:pPr>
      <w:r>
        <w:rPr>
          <w:rFonts w:hint="default" w:ascii="仿宋_GB2312" w:hAnsi="仿宋_GB2312" w:eastAsia="仿宋_GB2312" w:cs="仿宋_GB2312"/>
          <w:i w:val="0"/>
          <w:caps w:val="0"/>
          <w:color w:val="030303"/>
          <w:spacing w:val="0"/>
          <w:kern w:val="0"/>
          <w:sz w:val="28"/>
          <w:szCs w:val="28"/>
          <w:shd w:val="clear" w:color="auto" w:fill="FFFFFF"/>
          <w:lang w:val="en-US" w:eastAsia="zh-CN" w:bidi="ar"/>
        </w:rPr>
        <w:t>综上所述，本项目的管理制度在执行过程中表现出了高度的有效性，既确保了项目的顺利进行，又实现了项目目标的有效达成。</w:t>
      </w:r>
    </w:p>
    <w:p>
      <w:pPr>
        <w:shd w:val="clear"/>
        <w:spacing w:line="600" w:lineRule="exact"/>
        <w:ind w:firstLine="562" w:firstLineChars="200"/>
        <w:outlineLvl w:val="0"/>
        <w:rPr>
          <w:rFonts w:ascii="Times New Roman" w:hAnsi="Times New Roman" w:eastAsia="楷体_GB2312"/>
          <w:b/>
          <w:bCs/>
          <w:sz w:val="28"/>
          <w:szCs w:val="28"/>
        </w:rPr>
      </w:pPr>
      <w:r>
        <w:rPr>
          <w:rFonts w:hint="eastAsia" w:ascii="Times New Roman" w:hAnsi="Times New Roman" w:eastAsia="楷体_GB2312"/>
          <w:b/>
          <w:bCs/>
          <w:sz w:val="28"/>
          <w:szCs w:val="28"/>
          <w:lang w:eastAsia="zh-CN"/>
        </w:rPr>
        <w:t>（三）</w:t>
      </w:r>
      <w:r>
        <w:rPr>
          <w:rFonts w:ascii="Times New Roman" w:hAnsi="Times New Roman" w:eastAsia="楷体_GB2312"/>
          <w:b/>
          <w:bCs/>
          <w:sz w:val="28"/>
          <w:szCs w:val="28"/>
        </w:rPr>
        <w:t>项目产出</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2" w:firstLineChars="200"/>
        <w:jc w:val="both"/>
        <w:textAlignment w:val="auto"/>
        <w:outlineLvl w:val="9"/>
        <w:rPr>
          <w:rStyle w:val="18"/>
          <w:rFonts w:hint="eastAsia" w:ascii="仿宋_GB2312" w:hAnsi="仿宋_GB2312" w:eastAsia="仿宋_GB2312" w:cs="仿宋_GB2312"/>
          <w:b w:val="0"/>
          <w:bCs w:val="0"/>
          <w:color w:val="auto"/>
          <w:spacing w:val="-4"/>
          <w:sz w:val="28"/>
          <w:szCs w:val="28"/>
          <w:lang w:val="en-US" w:eastAsia="zh-CN"/>
        </w:rPr>
      </w:pPr>
      <w:r>
        <w:rPr>
          <w:rFonts w:hint="eastAsia" w:ascii="仿宋_GB2312" w:hAnsi="仿宋_GB2312" w:eastAsia="仿宋_GB2312" w:cs="仿宋_GB2312"/>
          <w:b/>
          <w:bCs/>
          <w:sz w:val="28"/>
          <w:szCs w:val="28"/>
          <w:lang w:val="en-US" w:eastAsia="zh-CN"/>
        </w:rPr>
        <w:t>1、数量指标分析：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指标1：保障盐湖供养养老及工伤保险人员44人，指标值：44人，实际完成值：44人，指标完成率100%。</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2、质量指标分析：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指标1：保障盐湖供养养老及工伤保险人员生活待遇补助资金准确率，指标值：100%，实际完成值：100%，指标完成率100%。</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3、时效指标分析：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指标1：及时率，指标值：100%，实际完成值：100%，指标完成率100%；指标2：项目完成时间，指标值：2024年12月30日之前，实际完成值：2024年12月30日之前，指标完成率100%。</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Style w:val="18"/>
          <w:rFonts w:hint="eastAsia" w:ascii="仿宋_GB2312" w:hAnsi="仿宋_GB2312" w:eastAsia="仿宋_GB2312" w:cs="仿宋_GB2312"/>
          <w:b w:val="0"/>
          <w:bCs w:val="0"/>
          <w:color w:val="auto"/>
          <w:spacing w:val="-4"/>
          <w:sz w:val="28"/>
          <w:szCs w:val="28"/>
          <w:lang w:val="en-US" w:eastAsia="zh-CN"/>
        </w:rPr>
      </w:pPr>
      <w:r>
        <w:rPr>
          <w:rFonts w:hint="eastAsia" w:ascii="仿宋_GB2312" w:hAnsi="仿宋_GB2312" w:eastAsia="仿宋_GB2312" w:cs="仿宋_GB2312"/>
          <w:b/>
          <w:bCs/>
          <w:sz w:val="28"/>
          <w:szCs w:val="28"/>
          <w:lang w:val="en-US" w:eastAsia="zh-CN"/>
        </w:rPr>
        <w:t>4、成本指标分析：</w:t>
      </w:r>
      <w:r>
        <w:rPr>
          <w:rFonts w:hint="eastAsia" w:ascii="仿宋_GB2312" w:hAnsi="仿宋_GB2312" w:eastAsia="仿宋_GB2312" w:cs="仿宋_GB2312"/>
          <w:b w:val="0"/>
          <w:bCs w:val="0"/>
          <w:sz w:val="28"/>
          <w:szCs w:val="28"/>
          <w:lang w:val="en-US" w:eastAsia="zh-CN"/>
        </w:rPr>
        <w:t>指标1：项目总额，指标值：10.44万元，实际完成值：10.44万元，指标完成率100%。</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46" w:firstLineChars="200"/>
        <w:jc w:val="left"/>
        <w:rPr>
          <w:rStyle w:val="18"/>
          <w:rFonts w:hint="eastAsia" w:ascii="仿宋_GB2312" w:hAnsi="仿宋_GB2312" w:eastAsia="仿宋_GB2312" w:cs="仿宋_GB2312"/>
          <w:b/>
          <w:bCs/>
          <w:i w:val="0"/>
          <w:caps w:val="0"/>
          <w:color w:val="030303"/>
          <w:spacing w:val="0"/>
          <w:sz w:val="28"/>
          <w:szCs w:val="28"/>
          <w:shd w:val="clear" w:color="auto" w:fill="FFFFFF"/>
        </w:rPr>
      </w:pPr>
      <w:r>
        <w:rPr>
          <w:rStyle w:val="18"/>
          <w:rFonts w:hint="eastAsia" w:ascii="仿宋_GB2312" w:hAnsi="仿宋_GB2312" w:eastAsia="仿宋_GB2312" w:cs="仿宋_GB2312"/>
          <w:b/>
          <w:bCs/>
          <w:spacing w:val="-4"/>
          <w:sz w:val="28"/>
          <w:szCs w:val="28"/>
          <w:lang w:val="en-US" w:eastAsia="zh-CN"/>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bCs/>
          <w:sz w:val="28"/>
          <w:szCs w:val="28"/>
          <w:lang w:val="en-US" w:eastAsia="zh-CN"/>
        </w:rPr>
        <w:t>社会效益指标分析：</w:t>
      </w:r>
      <w:r>
        <w:rPr>
          <w:rFonts w:hint="eastAsia" w:ascii="仿宋_GB2312" w:hAnsi="仿宋_GB2312" w:eastAsia="仿宋_GB2312" w:cs="仿宋_GB2312"/>
          <w:b w:val="0"/>
          <w:bCs w:val="0"/>
          <w:sz w:val="28"/>
          <w:szCs w:val="28"/>
          <w:lang w:val="en-US" w:eastAsia="zh-CN"/>
        </w:rPr>
        <w:t>指标1：原破产企业盐湖化工厂供养人员41人，工伤保险3人。指标值：效果显著，实际完成值：100%，指标完成率100%；指标2：群体上访事件发生率，指标值：</w:t>
      </w:r>
      <w:r>
        <w:rPr>
          <w:rFonts w:hint="eastAsia" w:ascii="宋体" w:hAnsi="宋体" w:eastAsia="宋体" w:cs="宋体"/>
          <w:b w:val="0"/>
          <w:bCs w:val="0"/>
          <w:sz w:val="28"/>
          <w:szCs w:val="28"/>
          <w:lang w:val="en-US" w:eastAsia="zh-CN"/>
        </w:rPr>
        <w:t>≦</w:t>
      </w:r>
      <w:r>
        <w:rPr>
          <w:rFonts w:hint="eastAsia" w:ascii="仿宋_GB2312" w:hAnsi="仿宋_GB2312" w:eastAsia="仿宋_GB2312" w:cs="仿宋_GB2312"/>
          <w:b w:val="0"/>
          <w:bCs w:val="0"/>
          <w:sz w:val="28"/>
          <w:szCs w:val="28"/>
          <w:lang w:val="en-US" w:eastAsia="zh-CN"/>
        </w:rPr>
        <w:t>0，实际完成值：0，指标完成率100%。</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2"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bCs/>
          <w:sz w:val="28"/>
          <w:szCs w:val="28"/>
          <w:lang w:val="en-US" w:eastAsia="zh-CN"/>
        </w:rPr>
        <w:t>2、可持续影响指标分析：</w:t>
      </w:r>
      <w:r>
        <w:rPr>
          <w:rFonts w:hint="eastAsia" w:ascii="仿宋_GB2312" w:hAnsi="仿宋_GB2312" w:eastAsia="仿宋_GB2312" w:cs="仿宋_GB2312"/>
          <w:b w:val="0"/>
          <w:bCs w:val="0"/>
          <w:sz w:val="28"/>
          <w:szCs w:val="28"/>
          <w:lang w:val="en-US" w:eastAsia="zh-CN"/>
        </w:rPr>
        <w:t>指标1：</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保障盐湖供养及工伤保险人员45人的</w:t>
      </w:r>
      <w:r>
        <w:rPr>
          <w:rFonts w:hint="eastAsia" w:ascii="仿宋_GB2312" w:hAnsi="仿宋_GB2312" w:eastAsia="仿宋_GB2312" w:cs="仿宋_GB2312"/>
          <w:b w:val="0"/>
          <w:bCs w:val="0"/>
          <w:sz w:val="28"/>
          <w:szCs w:val="28"/>
          <w:lang w:val="en-US" w:eastAsia="zh-CN"/>
        </w:rPr>
        <w:t>保持年限，指标值：长期有效，实际完成值：长期有效，指标完成率100%</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62" w:firstLineChars="200"/>
        <w:jc w:val="both"/>
        <w:rPr>
          <w:rFonts w:hint="default" w:eastAsia="宋体"/>
          <w:lang w:val="en-US" w:eastAsia="zh-CN"/>
        </w:rPr>
      </w:pPr>
      <w:r>
        <w:rPr>
          <w:rFonts w:hint="eastAsia" w:ascii="仿宋_GB2312" w:hAnsi="仿宋_GB2312" w:eastAsia="仿宋_GB2312" w:cs="仿宋_GB2312"/>
          <w:b/>
          <w:bCs/>
          <w:sz w:val="28"/>
          <w:szCs w:val="28"/>
          <w:lang w:val="en-US" w:eastAsia="zh-CN"/>
        </w:rPr>
        <w:t>3、满意度指标分析：</w:t>
      </w:r>
      <w:r>
        <w:rPr>
          <w:rFonts w:hint="eastAsia" w:ascii="仿宋_GB2312" w:hAnsi="仿宋_GB2312" w:eastAsia="仿宋_GB2312" w:cs="仿宋_GB2312"/>
          <w:b w:val="0"/>
          <w:bCs w:val="0"/>
          <w:kern w:val="2"/>
          <w:sz w:val="28"/>
          <w:szCs w:val="28"/>
          <w:lang w:val="en-US" w:eastAsia="zh-CN" w:bidi="ar-SA"/>
        </w:rPr>
        <w:t>指标1：</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保障盐湖供养及工伤保险人员44人</w:t>
      </w:r>
      <w:r>
        <w:rPr>
          <w:rFonts w:hint="eastAsia" w:ascii="仿宋_GB2312" w:hAnsi="仿宋_GB2312" w:eastAsia="仿宋_GB2312" w:cs="仿宋_GB2312"/>
          <w:b w:val="0"/>
          <w:bCs w:val="0"/>
          <w:kern w:val="2"/>
          <w:sz w:val="28"/>
          <w:szCs w:val="28"/>
          <w:lang w:val="en-US" w:eastAsia="zh-CN" w:bidi="ar-SA"/>
        </w:rPr>
        <w:t>满意度，</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指标值：100%，实际完成值：</w:t>
      </w:r>
      <w:r>
        <w:rPr>
          <w:rFonts w:hint="eastAsia" w:ascii="宋体" w:hAnsi="宋体" w:eastAsia="宋体" w:cs="宋体"/>
          <w:i w:val="0"/>
          <w:caps w:val="0"/>
          <w:color w:val="030303"/>
          <w:spacing w:val="0"/>
          <w:kern w:val="0"/>
          <w:sz w:val="28"/>
          <w:szCs w:val="28"/>
          <w:shd w:val="clear" w:color="auto" w:fill="FFFFFF"/>
          <w:lang w:val="en-US" w:eastAsia="zh-CN" w:bidi="ar"/>
        </w:rPr>
        <w:t>≧</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95%，指标完成率100%。</w:t>
      </w:r>
    </w:p>
    <w:p>
      <w:pPr>
        <w:spacing w:line="560" w:lineRule="exact"/>
        <w:ind w:firstLine="640" w:firstLineChars="200"/>
        <w:rPr>
          <w:rFonts w:hint="eastAsia"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Times New Roman" w:hAnsi="Times New Roman" w:eastAsia="黑体" w:cs="Times New Roman"/>
          <w:sz w:val="32"/>
          <w:szCs w:val="32"/>
          <w:lang w:val="en-US" w:eastAsia="zh-CN"/>
        </w:rPr>
        <w:t>五、</w:t>
      </w:r>
      <w:r>
        <w:rPr>
          <w:rFonts w:hint="eastAsia" w:ascii="Times New Roman" w:hAnsi="Times New Roman" w:eastAsia="黑体" w:cs="Times New Roman"/>
          <w:sz w:val="32"/>
          <w:szCs w:val="32"/>
          <w:lang w:val="en-US" w:eastAsia="zh-Hans"/>
        </w:rPr>
        <w:t>预算执行进度与绩效指标总体完成率偏差</w:t>
      </w:r>
    </w:p>
    <w:p>
      <w:pPr>
        <w:pStyle w:val="23"/>
        <w:spacing w:line="560" w:lineRule="exact"/>
        <w:ind w:firstLine="640"/>
        <w:rPr>
          <w:rFonts w:hint="eastAsia" w:ascii="仿宋_GB2312" w:hAnsi="仿宋_GB2312" w:eastAsia="仿宋_GB2312" w:cs="仿宋_GB2312"/>
          <w:i w:val="0"/>
          <w:caps w:val="0"/>
          <w:color w:val="030303"/>
          <w:spacing w:val="0"/>
          <w:kern w:val="0"/>
          <w:sz w:val="28"/>
          <w:szCs w:val="28"/>
          <w:shd w:val="clear" w:color="auto" w:fill="FFFFFF"/>
          <w:lang w:val="en-US" w:eastAsia="zh-CN" w:bidi="ar"/>
        </w:rPr>
      </w:pP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原破产企业职工暖气费生活补助及养老保险金项目年初预算10.44万元，全年预算10.44万元，实际支出10.35万元，预算执行率为99.14%，项目绩效指标总体完成率为100%，</w:t>
      </w:r>
      <w:r>
        <w:rPr>
          <w:rFonts w:hint="eastAsia" w:ascii="仿宋_GB2312" w:hAnsi="仿宋_GB2312" w:eastAsia="仿宋_GB2312" w:cs="仿宋_GB2312"/>
          <w:i w:val="0"/>
          <w:caps w:val="0"/>
          <w:color w:val="030303"/>
          <w:spacing w:val="0"/>
          <w:kern w:val="0"/>
          <w:sz w:val="28"/>
          <w:szCs w:val="28"/>
          <w:shd w:val="clear" w:color="auto" w:fill="FFFFFF"/>
          <w:lang w:val="en-US" w:eastAsia="zh-Hans" w:bidi="ar"/>
        </w:rPr>
        <w:t>总体</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偏差率为0.86%，</w:t>
      </w:r>
      <w:r>
        <w:rPr>
          <w:rFonts w:hint="eastAsia" w:ascii="仿宋_GB2312" w:hAnsi="仿宋_GB2312" w:eastAsia="仿宋_GB2312" w:cs="仿宋_GB2312"/>
          <w:i w:val="0"/>
          <w:caps w:val="0"/>
          <w:color w:val="030303"/>
          <w:spacing w:val="0"/>
          <w:kern w:val="0"/>
          <w:sz w:val="28"/>
          <w:szCs w:val="28"/>
          <w:shd w:val="clear" w:color="auto" w:fill="FFFFFF"/>
          <w:lang w:val="en-US" w:eastAsia="zh-Hans" w:bidi="ar"/>
        </w:rPr>
        <w:t>偏差</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原因是8名人员未联系到，暂时无法发放。</w:t>
      </w:r>
    </w:p>
    <w:p>
      <w:pPr>
        <w:spacing w:line="600" w:lineRule="exact"/>
        <w:ind w:firstLine="640" w:firstLineChars="200"/>
        <w:rPr>
          <w:rStyle w:val="22"/>
          <w:rFonts w:ascii="Times New Roman" w:hAnsi="Times New Roman" w:cs="Times New Roman"/>
          <w:color w:val="auto"/>
        </w:rPr>
      </w:pPr>
      <w:r>
        <w:rPr>
          <w:rFonts w:hint="eastAsia" w:eastAsia="黑体"/>
          <w:sz w:val="32"/>
          <w:szCs w:val="32"/>
          <w:lang w:val="en-US" w:eastAsia="zh-CN"/>
        </w:rPr>
        <w:t>六、</w:t>
      </w:r>
      <w:r>
        <w:rPr>
          <w:rFonts w:eastAsia="黑体"/>
          <w:sz w:val="32"/>
          <w:szCs w:val="32"/>
        </w:rPr>
        <w:t>主要经验及做法、存在的问题及原因分析</w:t>
      </w:r>
    </w:p>
    <w:p>
      <w:pPr>
        <w:spacing w:line="600" w:lineRule="exact"/>
        <w:ind w:firstLine="546" w:firstLineChars="200"/>
        <w:rPr>
          <w:rFonts w:hint="eastAsia" w:ascii="仿宋_GB2312" w:hAnsi="仿宋_GB2312" w:eastAsia="仿宋_GB2312" w:cs="仿宋_GB2312"/>
          <w:b/>
          <w:spacing w:val="-4"/>
          <w:sz w:val="28"/>
          <w:szCs w:val="28"/>
        </w:rPr>
      </w:pPr>
      <w:r>
        <w:rPr>
          <w:rFonts w:hint="eastAsia" w:ascii="仿宋_GB2312" w:hAnsi="仿宋_GB2312" w:eastAsia="仿宋_GB2312" w:cs="仿宋_GB2312"/>
          <w:b/>
          <w:spacing w:val="-4"/>
          <w:sz w:val="28"/>
          <w:szCs w:val="28"/>
        </w:rPr>
        <w:t>（一）主要经验及做法</w:t>
      </w:r>
    </w:p>
    <w:p>
      <w:pPr>
        <w:spacing w:line="600" w:lineRule="exact"/>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2"/>
        <w:spacing w:before="0" w:after="0" w:line="600" w:lineRule="exact"/>
        <w:ind w:firstLine="840" w:firstLineChars="300"/>
        <w:jc w:val="both"/>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存在的问题及原因分析</w:t>
      </w:r>
    </w:p>
    <w:p>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jc w:val="both"/>
        <w:textAlignment w:val="auto"/>
        <w:rPr>
          <w:rStyle w:val="18"/>
          <w:rFonts w:hint="eastAsia" w:ascii="仿宋_GB2312" w:hAnsi="仿宋_GB2312" w:eastAsia="仿宋_GB2312" w:cs="仿宋_GB2312"/>
          <w:b w:val="0"/>
          <w:spacing w:val="-4"/>
          <w:sz w:val="28"/>
          <w:szCs w:val="28"/>
          <w:highlight w:val="none"/>
        </w:rPr>
      </w:pPr>
      <w:r>
        <w:rPr>
          <w:rStyle w:val="18"/>
          <w:rFonts w:hint="eastAsia" w:ascii="仿宋_GB2312" w:hAnsi="仿宋_GB2312" w:eastAsia="仿宋_GB2312" w:cs="仿宋_GB2312"/>
          <w:b w:val="0"/>
          <w:spacing w:val="-4"/>
          <w:sz w:val="28"/>
          <w:szCs w:val="28"/>
          <w:highlight w:val="none"/>
        </w:rPr>
        <w:t>存在的问题：</w:t>
      </w:r>
    </w:p>
    <w:p>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jc w:val="both"/>
        <w:textAlignment w:val="auto"/>
        <w:rPr>
          <w:rStyle w:val="18"/>
          <w:rFonts w:hint="eastAsia" w:ascii="仿宋_GB2312" w:hAnsi="仿宋_GB2312" w:eastAsia="仿宋_GB2312" w:cs="仿宋_GB2312"/>
          <w:b w:val="0"/>
          <w:spacing w:val="-4"/>
          <w:sz w:val="28"/>
          <w:szCs w:val="28"/>
          <w:highlight w:val="none"/>
        </w:rPr>
      </w:pPr>
      <w:r>
        <w:rPr>
          <w:rStyle w:val="18"/>
          <w:rFonts w:hint="eastAsia" w:ascii="仿宋_GB2312" w:hAnsi="仿宋_GB2312" w:eastAsia="仿宋_GB2312" w:cs="仿宋_GB2312"/>
          <w:b w:val="0"/>
          <w:spacing w:val="-4"/>
          <w:sz w:val="28"/>
          <w:szCs w:val="28"/>
          <w:highlight w:val="none"/>
        </w:rPr>
        <w:t>1、作为项目实施部门，对绩效考核还缺乏充分的认识，快速反应的意识有待加强，服务方式有待改进，服务质量有待提高，管理制度还需要进一步完善和健全。</w:t>
      </w:r>
    </w:p>
    <w:p>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jc w:val="both"/>
        <w:textAlignment w:val="auto"/>
        <w:rPr>
          <w:rStyle w:val="18"/>
          <w:rFonts w:hint="eastAsia" w:ascii="仿宋_GB2312" w:hAnsi="仿宋_GB2312" w:eastAsia="仿宋_GB2312" w:cs="仿宋_GB2312"/>
          <w:b w:val="0"/>
          <w:spacing w:val="-4"/>
          <w:sz w:val="28"/>
          <w:szCs w:val="28"/>
          <w:highlight w:val="none"/>
        </w:rPr>
      </w:pPr>
      <w:r>
        <w:rPr>
          <w:rStyle w:val="18"/>
          <w:rFonts w:hint="eastAsia" w:ascii="仿宋_GB2312" w:hAnsi="仿宋_GB2312" w:eastAsia="仿宋_GB2312" w:cs="仿宋_GB2312"/>
          <w:b w:val="0"/>
          <w:spacing w:val="-4"/>
          <w:sz w:val="28"/>
          <w:szCs w:val="28"/>
          <w:highlight w:val="none"/>
        </w:rPr>
        <w:t>2、还需强化财务工作规范化管理，进一步严格财务管理制度，充分强化内部控制系统信息化服务。</w:t>
      </w:r>
    </w:p>
    <w:p>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jc w:val="both"/>
        <w:textAlignment w:val="auto"/>
        <w:rPr>
          <w:rFonts w:hint="eastAsia" w:ascii="仿宋_GB2312" w:hAnsi="仿宋_GB2312" w:eastAsia="仿宋_GB2312" w:cs="仿宋_GB2312"/>
          <w:sz w:val="28"/>
          <w:szCs w:val="28"/>
        </w:rPr>
      </w:pPr>
      <w:r>
        <w:rPr>
          <w:rStyle w:val="18"/>
          <w:rFonts w:hint="eastAsia" w:ascii="仿宋_GB2312" w:hAnsi="仿宋_GB2312" w:eastAsia="仿宋_GB2312" w:cs="仿宋_GB2312"/>
          <w:b w:val="0"/>
          <w:spacing w:val="-4"/>
          <w:sz w:val="28"/>
          <w:szCs w:val="28"/>
          <w:highlight w:val="none"/>
        </w:rPr>
        <w:t>原因分析：原因为编制的项目自评指标体系不够精细，绩效目标不具体，绩效目标未完全细化，分解工作任务不够具体。</w:t>
      </w:r>
    </w:p>
    <w:p>
      <w:pPr>
        <w:numPr>
          <w:ilvl w:val="0"/>
          <w:numId w:val="0"/>
        </w:num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七、</w:t>
      </w:r>
      <w:r>
        <w:rPr>
          <w:rFonts w:hint="eastAsia" w:ascii="仿宋_GB2312" w:hAnsi="仿宋_GB2312" w:eastAsia="仿宋_GB2312" w:cs="仿宋_GB2312"/>
          <w:b/>
          <w:bCs/>
          <w:sz w:val="28"/>
          <w:szCs w:val="28"/>
        </w:rPr>
        <w:t>有关建议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0"/>
        </w:num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八、</w:t>
      </w:r>
      <w:r>
        <w:rPr>
          <w:rFonts w:hint="eastAsia" w:ascii="仿宋_GB2312" w:hAnsi="仿宋_GB2312" w:eastAsia="仿宋_GB2312" w:cs="仿宋_GB2312"/>
          <w:b/>
          <w:bCs/>
          <w:sz w:val="28"/>
          <w:szCs w:val="28"/>
        </w:rPr>
        <w:t>其他需要说</w:t>
      </w:r>
      <w:bookmarkStart w:id="6" w:name="page8"/>
      <w:bookmarkEnd w:id="6"/>
      <w:r>
        <w:rPr>
          <w:rFonts w:hint="eastAsia" w:ascii="仿宋_GB2312" w:hAnsi="仿宋_GB2312" w:eastAsia="仿宋_GB2312" w:cs="仿宋_GB2312"/>
          <w:b/>
          <w:bCs/>
          <w:sz w:val="28"/>
          <w:szCs w:val="28"/>
        </w:rPr>
        <w:t>明的问题</w:t>
      </w:r>
    </w:p>
    <w:p>
      <w:pPr>
        <w:pStyle w:val="14"/>
        <w:ind w:firstLine="560" w:firstLineChars="200"/>
        <w:rPr>
          <w:rFonts w:hint="eastAsia" w:ascii="仿宋_GB2312" w:hAnsi="仿宋_GB2312" w:eastAsia="仿宋_GB2312" w:cs="仿宋_GB2312"/>
          <w:b/>
          <w:kern w:val="0"/>
          <w:sz w:val="28"/>
          <w:szCs w:val="28"/>
          <w:lang w:bidi="ar"/>
        </w:rPr>
        <w:sectPr>
          <w:footerReference r:id="rId5"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28"/>
          <w:szCs w:val="28"/>
        </w:rPr>
        <w:t>无</w:t>
      </w:r>
    </w:p>
    <w:p>
      <w:pPr>
        <w:rPr>
          <w:rStyle w:val="18"/>
          <w:rFonts w:hint="eastAsia" w:ascii="仿宋_GB2312" w:hAnsi="仿宋_GB2312" w:eastAsia="仿宋_GB2312" w:cs="仿宋_GB2312"/>
          <w:b w:val="0"/>
          <w:bCs/>
          <w:spacing w:val="-4"/>
          <w:sz w:val="28"/>
          <w:szCs w:val="28"/>
        </w:rPr>
      </w:pPr>
    </w:p>
    <w:p>
      <w:pPr>
        <w:ind w:firstLine="4497" w:firstLineChars="16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项目支出绩效评价指标体系框架</w:t>
      </w:r>
    </w:p>
    <w:p>
      <w:pPr>
        <w:pStyle w:val="4"/>
        <w:spacing w:before="0" w:after="0" w:line="240" w:lineRule="auto"/>
        <w:jc w:val="center"/>
        <w:outlineLvl w:val="9"/>
        <w:rPr>
          <w:rFonts w:hint="eastAsia" w:ascii="新宋体" w:hAnsi="新宋体" w:eastAsia="新宋体" w:cs="新宋体"/>
          <w:bCs w:val="0"/>
          <w:color w:val="000000"/>
          <w:lang w:val="en-US" w:eastAsia="zh-CN"/>
        </w:rPr>
      </w:pPr>
      <w:r>
        <w:rPr>
          <w:rFonts w:hint="eastAsia" w:ascii="新宋体" w:hAnsi="新宋体" w:eastAsia="新宋体" w:cs="新宋体"/>
          <w:bCs w:val="0"/>
          <w:color w:val="000000"/>
          <w:lang w:val="en-US" w:eastAsia="zh-CN"/>
        </w:rPr>
        <w:t xml:space="preserve"> </w:t>
      </w:r>
    </w:p>
    <w:tbl>
      <w:tblPr>
        <w:tblStyle w:val="15"/>
        <w:tblW w:w="1275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49"/>
        <w:gridCol w:w="1048"/>
        <w:gridCol w:w="1151"/>
        <w:gridCol w:w="2951"/>
        <w:gridCol w:w="4911"/>
        <w:gridCol w:w="723"/>
        <w:gridCol w:w="72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5" w:hRule="atLeast"/>
          <w:tblHeader/>
          <w:jc w:val="center"/>
        </w:trPr>
        <w:tc>
          <w:tcPr>
            <w:tcW w:w="1249" w:type="dxa"/>
            <w:shd w:val="clear" w:color="auto" w:fill="FFFFFF"/>
            <w:noWrap w:val="0"/>
            <w:vAlign w:val="center"/>
          </w:tcPr>
          <w:p>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一级指标</w:t>
            </w:r>
          </w:p>
        </w:tc>
        <w:tc>
          <w:tcPr>
            <w:tcW w:w="1048" w:type="dxa"/>
            <w:shd w:val="clear" w:color="auto" w:fill="FFFFFF"/>
            <w:noWrap w:val="0"/>
            <w:vAlign w:val="center"/>
          </w:tcPr>
          <w:p>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二级指标</w:t>
            </w:r>
          </w:p>
        </w:tc>
        <w:tc>
          <w:tcPr>
            <w:tcW w:w="1151" w:type="dxa"/>
            <w:shd w:val="clear" w:color="auto" w:fill="FFFFFF"/>
            <w:noWrap w:val="0"/>
            <w:vAlign w:val="center"/>
          </w:tcPr>
          <w:p>
            <w:pPr>
              <w:rPr>
                <w:rFonts w:hint="eastAsia" w:ascii="黑体" w:hAnsi="黑体" w:eastAsia="黑体" w:cs="黑体"/>
              </w:rPr>
            </w:pPr>
            <w:r>
              <w:rPr>
                <w:rFonts w:hint="eastAsia" w:ascii="黑体" w:hAnsi="黑体" w:eastAsia="黑体" w:cs="黑体"/>
              </w:rPr>
              <w:t>三级指标</w:t>
            </w:r>
          </w:p>
        </w:tc>
        <w:tc>
          <w:tcPr>
            <w:tcW w:w="2951" w:type="dxa"/>
            <w:shd w:val="clear" w:color="auto" w:fill="FFFFFF"/>
            <w:noWrap w:val="0"/>
            <w:vAlign w:val="center"/>
          </w:tcPr>
          <w:p>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指标解释</w:t>
            </w:r>
          </w:p>
        </w:tc>
        <w:tc>
          <w:tcPr>
            <w:tcW w:w="4911" w:type="dxa"/>
            <w:shd w:val="clear" w:color="auto" w:fill="FFFFFF"/>
            <w:noWrap w:val="0"/>
            <w:vAlign w:val="center"/>
          </w:tcPr>
          <w:p>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指标说明</w:t>
            </w:r>
          </w:p>
        </w:tc>
        <w:tc>
          <w:tcPr>
            <w:tcW w:w="723" w:type="dxa"/>
            <w:shd w:val="clear" w:color="auto" w:fill="FFFFFF"/>
            <w:noWrap w:val="0"/>
            <w:vAlign w:val="center"/>
          </w:tcPr>
          <w:p>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权重</w:t>
            </w:r>
          </w:p>
        </w:tc>
        <w:tc>
          <w:tcPr>
            <w:tcW w:w="723" w:type="dxa"/>
            <w:shd w:val="clear" w:color="auto" w:fill="FFFFFF"/>
            <w:noWrap w:val="0"/>
            <w:vAlign w:val="center"/>
          </w:tcPr>
          <w:p>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2" w:hRule="atLeast"/>
          <w:jc w:val="center"/>
        </w:trPr>
        <w:tc>
          <w:tcPr>
            <w:tcW w:w="1249"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决策　</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p>
            <w:pPr>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c>
          <w:tcPr>
            <w:tcW w:w="1048"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项目立项　</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立项依据</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充分性</w:t>
            </w:r>
          </w:p>
        </w:tc>
        <w:tc>
          <w:tcPr>
            <w:tcW w:w="295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项目立项是否符合法律法规、相关政策、发展规划以及部门职责，用以反映和考核项目立项依据情况。</w:t>
            </w:r>
          </w:p>
        </w:tc>
        <w:tc>
          <w:tcPr>
            <w:tcW w:w="4911" w:type="dxa"/>
            <w:shd w:val="clear" w:color="auto" w:fill="FFFFFF"/>
            <w:noWrap w:val="0"/>
            <w:vAlign w:val="center"/>
          </w:tcPr>
          <w:p>
            <w:pPr>
              <w:widowControl/>
              <w:spacing w:line="0" w:lineRule="atLeast"/>
              <w:jc w:val="lef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①项目立项是否符合国家法律法规、国民经济发展规划和相关政策；</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②项目立项是否符合行业发展规划和政策要求；</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③项目立项是否与部门职责范围相符，属于部门履职所需；</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④项目是否属于公共财政支持范围，是否符合中央、地方事权支出责任划分原则；</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⑤项目是否与相关部门同类项目或部门内部相关项目重复。</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97" w:hRule="atLeast"/>
          <w:jc w:val="center"/>
        </w:trPr>
        <w:tc>
          <w:tcPr>
            <w:tcW w:w="1249" w:type="dxa"/>
            <w:vMerge w:val="continue"/>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p>
        </w:tc>
        <w:tc>
          <w:tcPr>
            <w:tcW w:w="1048"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立项程序</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规范性</w:t>
            </w:r>
          </w:p>
        </w:tc>
        <w:tc>
          <w:tcPr>
            <w:tcW w:w="295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项目申请、设立过程是否符合相关要求，用以反映和考核项目立项的规范情况。</w:t>
            </w:r>
          </w:p>
        </w:tc>
        <w:tc>
          <w:tcPr>
            <w:tcW w:w="4911" w:type="dxa"/>
            <w:shd w:val="clear" w:color="auto" w:fill="FFFFFF"/>
            <w:noWrap w:val="0"/>
            <w:vAlign w:val="center"/>
          </w:tcPr>
          <w:p>
            <w:pPr>
              <w:widowControl/>
              <w:spacing w:line="0" w:lineRule="atLeast"/>
              <w:jc w:val="lef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①项目是否按照规定的程序申请设立；</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②审批文件、材料是否符合相关要求；</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③事前是否已经过必要的可行性研究、专家论证、风险评估、绩效评估、集体决策。</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05" w:hRule="atLeast"/>
          <w:jc w:val="center"/>
        </w:trPr>
        <w:tc>
          <w:tcPr>
            <w:tcW w:w="1249" w:type="dxa"/>
            <w:vMerge w:val="continue"/>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p>
        </w:tc>
        <w:tc>
          <w:tcPr>
            <w:tcW w:w="1048"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绩效目标　</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绩效目标</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合理性</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项目所设定的绩效目标是否依据充分，是否符合客观实际，用以反映和考核项目绩效目标与项目实施的相符情况。</w:t>
            </w:r>
          </w:p>
        </w:tc>
        <w:tc>
          <w:tcPr>
            <w:tcW w:w="4911" w:type="dxa"/>
            <w:shd w:val="clear" w:color="000000" w:fill="FFFFFF"/>
            <w:noWrap w:val="0"/>
            <w:vAlign w:val="center"/>
          </w:tcPr>
          <w:p>
            <w:pPr>
              <w:widowControl/>
              <w:spacing w:line="0" w:lineRule="atLeast"/>
              <w:jc w:val="lef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（如未设定预算绩效目标，也可考核其他工作任务目标）</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①项目是否有绩效目标；</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②项目绩效目标与实际工作内容是否具有相关性；</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③项目预期产出效益和效果是否符合正常的业绩水平；</w:t>
            </w:r>
          </w:p>
          <w:p>
            <w:pPr>
              <w:widowControl/>
              <w:spacing w:line="0" w:lineRule="atLeast"/>
              <w:jc w:val="lef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④是否与预算确定的项目投资额或资金量相匹配。</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91" w:hRule="atLeast"/>
          <w:jc w:val="center"/>
        </w:trPr>
        <w:tc>
          <w:tcPr>
            <w:tcW w:w="1249"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决策　</w:t>
            </w:r>
          </w:p>
        </w:tc>
        <w:tc>
          <w:tcPr>
            <w:tcW w:w="1048"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绩效目标</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绩效指标</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明确性</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依据绩效目标设定的绩效指标是否清晰、细化、可衡量等，用以反映和考核项目绩效目标的明细化情况。</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①是否将项目绩效目标细化分解为具体的绩效指标；</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②是否通过清晰、可衡量的指标值予以体现；</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③是否与项目目标任务数或计划数相对应。</w:t>
            </w:r>
            <w:r>
              <w:rPr>
                <w:rFonts w:hint="eastAsia" w:ascii="仿宋_GB2312" w:hAnsi="仿宋_GB2312" w:eastAsia="仿宋_GB2312" w:cs="仿宋_GB2312"/>
                <w:color w:val="000000"/>
                <w:kern w:val="0"/>
                <w:sz w:val="24"/>
                <w:szCs w:val="24"/>
              </w:rPr>
              <w:br w:type="textWrapping"/>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39" w:hRule="atLeast"/>
          <w:jc w:val="center"/>
        </w:trPr>
        <w:tc>
          <w:tcPr>
            <w:tcW w:w="1249" w:type="dxa"/>
            <w:vMerge w:val="continue"/>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p>
        </w:tc>
        <w:tc>
          <w:tcPr>
            <w:tcW w:w="1048"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资金投入</w:t>
            </w:r>
          </w:p>
          <w:p>
            <w:pPr>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预算编制</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科学性</w:t>
            </w:r>
          </w:p>
        </w:tc>
        <w:tc>
          <w:tcPr>
            <w:tcW w:w="295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项目预算编制是否经过科学论证、有明确标准，资金额度与年度目标是否相适应，用以反映和考核项目预算编制的科学性、合理性情况。</w:t>
            </w:r>
          </w:p>
        </w:tc>
        <w:tc>
          <w:tcPr>
            <w:tcW w:w="491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①预算编制是否经过科学论证；</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②预算内容与项目内容是否匹配；</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③预算额度测算依据是否充分，是否按照标准编制；</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④预算确定的项目投资额或资金量是否与工作任务相匹配。</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72" w:hRule="atLeast"/>
          <w:jc w:val="center"/>
        </w:trPr>
        <w:tc>
          <w:tcPr>
            <w:tcW w:w="1249"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048"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资金分配</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合理性</w:t>
            </w:r>
          </w:p>
        </w:tc>
        <w:tc>
          <w:tcPr>
            <w:tcW w:w="295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项目预算资金分配是否有测算依据，与补助单位或地方实际是否相适应，用以反映和考核项目预算资金分配的科学性、合理性情况。</w:t>
            </w:r>
          </w:p>
        </w:tc>
        <w:tc>
          <w:tcPr>
            <w:tcW w:w="491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①预算资金分配依据是否充分；</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②资金分配额度是否合理，与项目单位或地方实际是否相适应。</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3" w:hRule="atLeast"/>
          <w:jc w:val="center"/>
        </w:trPr>
        <w:tc>
          <w:tcPr>
            <w:tcW w:w="1249" w:type="dxa"/>
            <w:vMerge w:val="restart"/>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过程</w:t>
            </w:r>
          </w:p>
        </w:tc>
        <w:tc>
          <w:tcPr>
            <w:tcW w:w="1048"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资金管理</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资金到位率</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实际到位资金与预算资金的比率，用以反映和考核资金落实情况对项目实施的总体保障程度。</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资金到位率=（实际到位资金/预算资金）×100%。</w:t>
            </w:r>
          </w:p>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实际到位资金：一定时期（本年度或项目期）内落实到具体项目的资金。</w:t>
            </w:r>
          </w:p>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预算资金：一定时期（本年度或项目期）内预算安排到具体项目的资金。</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6" w:hRule="atLeast"/>
          <w:jc w:val="center"/>
        </w:trPr>
        <w:tc>
          <w:tcPr>
            <w:tcW w:w="1249" w:type="dxa"/>
            <w:vMerge w:val="continue"/>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p>
        </w:tc>
        <w:tc>
          <w:tcPr>
            <w:tcW w:w="1048" w:type="dxa"/>
            <w:vMerge w:val="continue"/>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预算执行率</w:t>
            </w:r>
          </w:p>
        </w:tc>
        <w:tc>
          <w:tcPr>
            <w:tcW w:w="295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项目预算资金是否按照计划执行，用以反映或考核项目预算执行情况。</w:t>
            </w:r>
          </w:p>
        </w:tc>
        <w:tc>
          <w:tcPr>
            <w:tcW w:w="491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预算执行率=（实际支出资金/实际到位资金）×100%。</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实际支出资金：一定时期（本年度或项目期）内项目实际拨付的资金。</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90" w:hRule="atLeast"/>
          <w:jc w:val="center"/>
        </w:trPr>
        <w:tc>
          <w:tcPr>
            <w:tcW w:w="1249"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p>
            <w:pPr>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过程　</w:t>
            </w:r>
          </w:p>
        </w:tc>
        <w:tc>
          <w:tcPr>
            <w:tcW w:w="1048"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资金管理</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资金使用</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合规性</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项目资金使用是否符合相关的财务管理制度规定，用以反映和考核项目资金的规范运行情况。</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①是否符合国家财经法规和财务管理制度以及有关专项资金管理办法的规定；</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②资金的拨付是否有完整的审批程序和手续；</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③是否符合项目预算批复或合同规定的用途；</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④是否存在截留、挤占、挪用、虚列支出等情况。</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5" w:hRule="atLeast"/>
          <w:jc w:val="center"/>
        </w:trPr>
        <w:tc>
          <w:tcPr>
            <w:tcW w:w="1249" w:type="dxa"/>
            <w:vMerge w:val="continue"/>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p>
        </w:tc>
        <w:tc>
          <w:tcPr>
            <w:tcW w:w="1048"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组织实施</w:t>
            </w:r>
          </w:p>
          <w:p>
            <w:pPr>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　</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管理制度</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健全性</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项目实施单位的财务和业务管理制度是否健全，用以反映和考核财务和业务管理制度对项目顺利实施的保障情况。</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①是否已制定或具有相应的财务和业务管理制度；</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②财务和业务管理制度是否合法、合规、完整。</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98" w:hRule="atLeast"/>
          <w:jc w:val="center"/>
        </w:trPr>
        <w:tc>
          <w:tcPr>
            <w:tcW w:w="1249"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048"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制度执行</w:t>
            </w:r>
          </w:p>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有效性</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项目实施是否符合相关管理规定，用以反映和考核相关管理制度的有效执行情况。</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评价要点：</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①是否遵守相关法律法规和相关管理规定；</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②项目调整及支出调整手续是否完备；</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③项目合同书、验收报告、技术鉴定等资料是否齐全并及时归档；</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④项目实施的人员条件、场地设备、信息支撑等是否落实到位。</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91" w:hRule="atLeast"/>
          <w:jc w:val="center"/>
        </w:trPr>
        <w:tc>
          <w:tcPr>
            <w:tcW w:w="1249"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产出</w:t>
            </w:r>
          </w:p>
        </w:tc>
        <w:tc>
          <w:tcPr>
            <w:tcW w:w="1048"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产出数量</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实际完成率</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项目实施的实际产出数与计划产出数的比率，用以反映和考核项目产出数量目标的实现程度。</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实际完成率=（实际产出数/计划产出数）×100%。</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实际产出数：一定时期（本年度或项目期）内项目实际产出的产品或提供的服务数量。</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计划产出数：项目绩效目标确定的在一定时期（本年度或项目期）内计划产出的产品或提供的服务数量。</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98" w:hRule="atLeast"/>
          <w:jc w:val="center"/>
        </w:trPr>
        <w:tc>
          <w:tcPr>
            <w:tcW w:w="1249"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产出</w:t>
            </w:r>
          </w:p>
        </w:tc>
        <w:tc>
          <w:tcPr>
            <w:tcW w:w="1048"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产出质量</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质量达标率</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项目完成的质量达标产出数与实际产出数的比率，用以反映和考核项目产出质量目标的实现程度。</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质量达标率=（质量达标产出数/实际产出数）×100%。</w:t>
            </w:r>
          </w:p>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46" w:hRule="atLeast"/>
          <w:jc w:val="center"/>
        </w:trPr>
        <w:tc>
          <w:tcPr>
            <w:tcW w:w="1249" w:type="dxa"/>
            <w:vMerge w:val="continue"/>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p>
        </w:tc>
        <w:tc>
          <w:tcPr>
            <w:tcW w:w="1048" w:type="dxa"/>
            <w:shd w:val="clear" w:color="auto" w:fill="FFFFFF"/>
            <w:noWrap w:val="0"/>
            <w:vAlign w:val="center"/>
          </w:tcPr>
          <w:p>
            <w:pPr>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产出时效</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完成及时性</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项目实际完成时间与计划完成时间的比较，用以反映和考核项目产出时效目标的实现程度。</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实际完成时间：项目实施单位完成该项目实际所耗用的时间。</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计划完成时间：按照项目实施计划或相关规定完成该项目所需的时间。</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90" w:hRule="atLeast"/>
          <w:jc w:val="center"/>
        </w:trPr>
        <w:tc>
          <w:tcPr>
            <w:tcW w:w="1249"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048"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产出成本</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成本节约率</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完成项目计划工作目标的实际节约成本与计划成本的比率，用以反映和考核项目的成本节约程度。</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成本节约率=[（计划成本-实际成本）/计划成本]×100%。</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实际成本：项目实施单位如期、保质、保量完成既定工作目标实际所耗费的支出。</w:t>
            </w:r>
            <w:r>
              <w:rPr>
                <w:rFonts w:hint="eastAsia" w:ascii="仿宋_GB2312" w:hAnsi="仿宋_GB2312" w:eastAsia="仿宋_GB2312" w:cs="仿宋_GB2312"/>
                <w:color w:val="000000"/>
                <w:kern w:val="0"/>
                <w:sz w:val="24"/>
                <w:szCs w:val="24"/>
              </w:rPr>
              <w:br w:type="textWrapping"/>
            </w:r>
            <w:r>
              <w:rPr>
                <w:rFonts w:hint="eastAsia" w:ascii="仿宋_GB2312" w:hAnsi="仿宋_GB2312" w:eastAsia="仿宋_GB2312" w:cs="仿宋_GB2312"/>
                <w:color w:val="000000"/>
                <w:kern w:val="0"/>
                <w:sz w:val="24"/>
                <w:szCs w:val="24"/>
              </w:rPr>
              <w:t>计划成本：项目实施单位为完成工作目标计划安排的支出，一般以项目预算为参考。</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48" w:hRule="atLeast"/>
          <w:jc w:val="center"/>
        </w:trPr>
        <w:tc>
          <w:tcPr>
            <w:tcW w:w="1249"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效益　</w:t>
            </w:r>
          </w:p>
        </w:tc>
        <w:tc>
          <w:tcPr>
            <w:tcW w:w="1048" w:type="dxa"/>
            <w:vMerge w:val="restart"/>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项目效益　</w:t>
            </w: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实施效益</w:t>
            </w:r>
          </w:p>
        </w:tc>
        <w:tc>
          <w:tcPr>
            <w:tcW w:w="2951" w:type="dxa"/>
            <w:shd w:val="clear" w:color="auto" w:fill="FFFFFF"/>
            <w:noWrap w:val="0"/>
            <w:vAlign w:val="center"/>
          </w:tcPr>
          <w:p>
            <w:pPr>
              <w:widowControl/>
              <w:spacing w:line="0" w:lineRule="atLeast"/>
              <w:jc w:val="lef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项目实施所产生的效益。</w:t>
            </w:r>
          </w:p>
        </w:tc>
        <w:tc>
          <w:tcPr>
            <w:tcW w:w="4911" w:type="dxa"/>
            <w:shd w:val="clear" w:color="auto"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项目实施所产生的社会效益、经济效益、生态效益、可持续影响等。可根据项目实际情况有选择地设置和细化。</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0</w:t>
            </w:r>
          </w:p>
        </w:tc>
        <w:tc>
          <w:tcPr>
            <w:tcW w:w="723"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72" w:hRule="atLeast"/>
          <w:jc w:val="center"/>
        </w:trPr>
        <w:tc>
          <w:tcPr>
            <w:tcW w:w="1249"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048" w:type="dxa"/>
            <w:vMerge w:val="continue"/>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p>
        </w:tc>
        <w:tc>
          <w:tcPr>
            <w:tcW w:w="1151" w:type="dxa"/>
            <w:shd w:val="clear" w:color="auto"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满意度</w:t>
            </w:r>
          </w:p>
        </w:tc>
        <w:tc>
          <w:tcPr>
            <w:tcW w:w="295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社会公众或服务对象对项目实施效果的满意程度。</w:t>
            </w:r>
          </w:p>
        </w:tc>
        <w:tc>
          <w:tcPr>
            <w:tcW w:w="4911" w:type="dxa"/>
            <w:shd w:val="clear" w:color="000000" w:fill="FFFFFF"/>
            <w:noWrap w:val="0"/>
            <w:vAlign w:val="center"/>
          </w:tcPr>
          <w:p>
            <w:pPr>
              <w:widowControl/>
              <w:spacing w:line="0" w:lineRule="atLeas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社会公众或服务对象是指因该项目实施而受到影响的部门（单位）、群体或个人。一般采取社会调查的方式。</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20</w:t>
            </w:r>
          </w:p>
        </w:tc>
        <w:tc>
          <w:tcPr>
            <w:tcW w:w="723" w:type="dxa"/>
            <w:shd w:val="clear" w:color="000000" w:fill="FFFFFF"/>
            <w:noWrap w:val="0"/>
            <w:vAlign w:val="center"/>
          </w:tcPr>
          <w:p>
            <w:pPr>
              <w:widowControl/>
              <w:spacing w:line="0" w:lineRule="atLeast"/>
              <w:jc w:val="center"/>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20</w:t>
            </w:r>
          </w:p>
        </w:tc>
      </w:tr>
    </w:tbl>
    <w:p>
      <w:pPr>
        <w:pStyle w:val="12"/>
        <w:jc w:val="both"/>
        <w:outlineLvl w:val="9"/>
        <w:rPr>
          <w:rFonts w:hint="eastAsia" w:ascii="仿宋_GB2312" w:hAnsi="仿宋_GB2312" w:eastAsia="仿宋_GB2312" w:cs="仿宋_GB2312"/>
          <w:sz w:val="24"/>
          <w:szCs w:val="24"/>
        </w:rPr>
      </w:pPr>
    </w:p>
    <w:p>
      <w:pPr>
        <w:pStyle w:val="12"/>
        <w:jc w:val="both"/>
        <w:outlineLvl w:val="9"/>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tbl>
      <w:tblPr>
        <w:tblStyle w:val="15"/>
        <w:tblW w:w="397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9"/>
        <w:gridCol w:w="442"/>
        <w:gridCol w:w="442"/>
        <w:gridCol w:w="992"/>
        <w:gridCol w:w="1570"/>
        <w:gridCol w:w="943"/>
        <w:gridCol w:w="717"/>
        <w:gridCol w:w="370"/>
        <w:gridCol w:w="690"/>
        <w:gridCol w:w="180"/>
        <w:gridCol w:w="701"/>
        <w:gridCol w:w="49"/>
        <w:gridCol w:w="794"/>
        <w:gridCol w:w="516"/>
        <w:gridCol w:w="51"/>
        <w:gridCol w:w="489"/>
        <w:gridCol w:w="1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000" w:type="pct"/>
            <w:gridSpan w:val="17"/>
            <w:tcBorders>
              <w:top w:val="nil"/>
              <w:left w:val="nil"/>
              <w:bottom w:val="nil"/>
              <w:right w:val="nil"/>
            </w:tcBorders>
            <w:shd w:val="clear" w:color="auto" w:fill="auto"/>
            <w:vAlign w:val="top"/>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608" w:type="pct"/>
            <w:gridSpan w:val="1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原破产企业职工暖气费生活补助及养老保险金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550"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1988" w:type="pct"/>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新疆维吾尔自治区工业和信息化厅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9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550"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04"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105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w:t>
            </w:r>
          </w:p>
        </w:tc>
        <w:tc>
          <w:tcPr>
            <w:tcW w:w="550"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9.91</w:t>
            </w:r>
          </w:p>
        </w:tc>
        <w:tc>
          <w:tcPr>
            <w:tcW w:w="604"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99.14%</w:t>
            </w:r>
          </w:p>
        </w:tc>
        <w:tc>
          <w:tcPr>
            <w:tcW w:w="105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0"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4"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5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10.44</w:t>
            </w:r>
          </w:p>
        </w:tc>
        <w:tc>
          <w:tcPr>
            <w:tcW w:w="550"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4"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5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266" w:type="pct"/>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538" w:type="pct"/>
            <w:gridSpan w:val="10"/>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0"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2266" w:type="pct"/>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认真贯彻落实党和政府对破产企业工伤职工的相关政策，做好破产企业供养人员暖气费、遗孀生活补助及4名工伤职工的养老金发放的保障工作，让破产企业工伤人员感受到党和政府的关怀，维护社会稳定。预计在2024年12月底完成发放。</w:t>
            </w:r>
          </w:p>
        </w:tc>
        <w:tc>
          <w:tcPr>
            <w:tcW w:w="2538" w:type="pct"/>
            <w:gridSpan w:val="10"/>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通过按时发放破产企业供养人员暖气费、遗孀生活补助及4名工伤职工的养老金，切实保障了相关人员的权益，让破产企业工伤人员感受到党和政务的关怀，维护了社会稳定。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96"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18"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9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2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4"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6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418"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3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3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2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发放补助人数</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&gt;=45人</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=45人</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资金发放准确率</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6"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补助发放及时率（%）</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人均成本</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&lt;=0.23万元</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=0.23万元</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维护社会稳定</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有效维护</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有效维护</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2"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受益人员满意度</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27" w:type="pct"/>
            <w:gridSpan w:val="4"/>
            <w:tcBorders>
              <w:top w:val="single" w:color="000000" w:sz="4" w:space="0"/>
              <w:left w:val="single" w:color="000000" w:sz="4" w:space="0"/>
              <w:bottom w:val="single" w:color="000000" w:sz="4" w:space="0"/>
              <w:right w:val="nil"/>
            </w:tcBorders>
            <w:shd w:val="clear" w:color="auto" w:fill="auto"/>
            <w:vAlign w:val="top"/>
          </w:tcPr>
          <w:p>
            <w:pPr>
              <w:keepNext w:val="0"/>
              <w:keepLines w:val="0"/>
              <w:widowControl/>
              <w:suppressLineNumbers w:val="0"/>
              <w:jc w:val="both"/>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nil"/>
              <w:bottom w:val="single" w:color="000000" w:sz="4" w:space="0"/>
              <w:right w:val="single" w:color="000000" w:sz="4" w:space="0"/>
            </w:tcBorders>
            <w:shd w:val="clear" w:color="auto" w:fill="auto"/>
            <w:vAlign w:val="top"/>
          </w:tcPr>
          <w:p>
            <w:pPr>
              <w:jc w:val="both"/>
              <w:rPr>
                <w:rFonts w:hint="eastAsia" w:ascii="宋体" w:hAnsi="宋体" w:eastAsia="宋体" w:cs="宋体"/>
                <w:b/>
                <w:bCs/>
                <w:i w:val="0"/>
                <w:iCs w:val="0"/>
                <w:color w:val="000000"/>
                <w:sz w:val="18"/>
                <w:szCs w:val="18"/>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99.91分</w:t>
            </w:r>
          </w:p>
        </w:tc>
        <w:tc>
          <w:tcPr>
            <w:tcW w:w="391"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23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91" w:type="pct"/>
            <w:gridSpan w:val="2"/>
            <w:tcBorders>
              <w:top w:val="single" w:color="000000" w:sz="4" w:space="0"/>
              <w:left w:val="nil"/>
              <w:bottom w:val="nil"/>
              <w:right w:val="nil"/>
            </w:tcBorders>
            <w:shd w:val="clear" w:color="auto" w:fill="auto"/>
            <w:vAlign w:val="top"/>
          </w:tcPr>
          <w:p>
            <w:pPr>
              <w:jc w:val="both"/>
              <w:rPr>
                <w:rFonts w:hint="eastAsia" w:ascii="宋体" w:hAnsi="宋体" w:eastAsia="宋体" w:cs="宋体"/>
                <w:i w:val="0"/>
                <w:iCs w:val="0"/>
                <w:color w:val="000000"/>
                <w:sz w:val="20"/>
                <w:szCs w:val="20"/>
                <w:u w:val="none"/>
              </w:rPr>
            </w:pPr>
          </w:p>
        </w:tc>
        <w:tc>
          <w:tcPr>
            <w:tcW w:w="1333" w:type="pct"/>
            <w:gridSpan w:val="3"/>
            <w:tcBorders>
              <w:top w:val="single" w:color="000000" w:sz="4" w:space="0"/>
              <w:left w:val="nil"/>
              <w:bottom w:val="nil"/>
              <w:right w:val="nil"/>
            </w:tcBorders>
            <w:shd w:val="clear" w:color="auto" w:fill="auto"/>
            <w:vAlign w:val="top"/>
          </w:tcPr>
          <w:p>
            <w:pPr>
              <w:jc w:val="both"/>
              <w:rPr>
                <w:rFonts w:hint="eastAsia" w:ascii="宋体" w:hAnsi="宋体" w:eastAsia="宋体" w:cs="宋体"/>
                <w:i w:val="0"/>
                <w:iCs w:val="0"/>
                <w:color w:val="000000"/>
                <w:sz w:val="20"/>
                <w:szCs w:val="20"/>
                <w:u w:val="none"/>
              </w:rPr>
            </w:pPr>
          </w:p>
        </w:tc>
        <w:tc>
          <w:tcPr>
            <w:tcW w:w="1287" w:type="pct"/>
            <w:gridSpan w:val="5"/>
            <w:tcBorders>
              <w:top w:val="single" w:color="000000" w:sz="4" w:space="0"/>
              <w:left w:val="nil"/>
              <w:bottom w:val="nil"/>
              <w:right w:val="nil"/>
            </w:tcBorders>
            <w:shd w:val="clear" w:color="auto" w:fill="auto"/>
            <w:vAlign w:val="top"/>
          </w:tcPr>
          <w:p>
            <w:pPr>
              <w:jc w:val="both"/>
              <w:rPr>
                <w:rFonts w:hint="eastAsia" w:ascii="宋体" w:hAnsi="宋体" w:eastAsia="宋体" w:cs="宋体"/>
                <w:i w:val="0"/>
                <w:iCs w:val="0"/>
                <w:color w:val="000000"/>
                <w:sz w:val="20"/>
                <w:szCs w:val="20"/>
                <w:u w:val="none"/>
              </w:rPr>
            </w:pPr>
          </w:p>
        </w:tc>
        <w:tc>
          <w:tcPr>
            <w:tcW w:w="1988" w:type="pct"/>
            <w:gridSpan w:val="7"/>
            <w:tcBorders>
              <w:top w:val="single" w:color="000000" w:sz="4" w:space="0"/>
              <w:left w:val="nil"/>
              <w:bottom w:val="nil"/>
              <w:right w:val="nil"/>
            </w:tcBorders>
            <w:shd w:val="clear" w:color="auto" w:fill="auto"/>
            <w:vAlign w:val="top"/>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91" w:type="pct"/>
            <w:gridSpan w:val="2"/>
            <w:tcBorders>
              <w:top w:val="nil"/>
              <w:left w:val="nil"/>
              <w:bottom w:val="nil"/>
              <w:right w:val="nil"/>
            </w:tcBorders>
            <w:shd w:val="clear" w:color="auto" w:fill="auto"/>
            <w:noWrap/>
            <w:vAlign w:val="top"/>
          </w:tcPr>
          <w:p>
            <w:pPr>
              <w:jc w:val="both"/>
              <w:rPr>
                <w:rFonts w:hint="eastAsia" w:ascii="宋体" w:hAnsi="宋体" w:eastAsia="宋体" w:cs="宋体"/>
                <w:i w:val="0"/>
                <w:iCs w:val="0"/>
                <w:color w:val="000000"/>
                <w:sz w:val="20"/>
                <w:szCs w:val="20"/>
                <w:u w:val="none"/>
              </w:rPr>
            </w:pPr>
          </w:p>
        </w:tc>
        <w:tc>
          <w:tcPr>
            <w:tcW w:w="1333" w:type="pct"/>
            <w:gridSpan w:val="3"/>
            <w:tcBorders>
              <w:top w:val="nil"/>
              <w:left w:val="nil"/>
              <w:bottom w:val="nil"/>
              <w:right w:val="nil"/>
            </w:tcBorders>
            <w:shd w:val="clear" w:color="auto" w:fill="auto"/>
            <w:noWrap/>
            <w:vAlign w:val="top"/>
          </w:tcPr>
          <w:p>
            <w:pPr>
              <w:jc w:val="both"/>
              <w:rPr>
                <w:rFonts w:hint="eastAsia" w:ascii="宋体" w:hAnsi="宋体" w:eastAsia="宋体" w:cs="宋体"/>
                <w:i w:val="0"/>
                <w:iCs w:val="0"/>
                <w:color w:val="000000"/>
                <w:sz w:val="20"/>
                <w:szCs w:val="20"/>
                <w:u w:val="none"/>
              </w:rPr>
            </w:pPr>
          </w:p>
        </w:tc>
        <w:tc>
          <w:tcPr>
            <w:tcW w:w="1287" w:type="pct"/>
            <w:gridSpan w:val="5"/>
            <w:tcBorders>
              <w:top w:val="nil"/>
              <w:left w:val="nil"/>
              <w:bottom w:val="nil"/>
              <w:right w:val="nil"/>
            </w:tcBorders>
            <w:shd w:val="clear" w:color="auto" w:fill="auto"/>
            <w:noWrap/>
            <w:vAlign w:val="top"/>
          </w:tcPr>
          <w:p>
            <w:pPr>
              <w:jc w:val="both"/>
              <w:rPr>
                <w:rFonts w:hint="eastAsia" w:ascii="宋体" w:hAnsi="宋体" w:eastAsia="宋体" w:cs="宋体"/>
                <w:i w:val="0"/>
                <w:iCs w:val="0"/>
                <w:color w:val="000000"/>
                <w:sz w:val="20"/>
                <w:szCs w:val="20"/>
                <w:u w:val="none"/>
              </w:rPr>
            </w:pPr>
          </w:p>
        </w:tc>
        <w:tc>
          <w:tcPr>
            <w:tcW w:w="1988" w:type="pct"/>
            <w:gridSpan w:val="7"/>
            <w:tcBorders>
              <w:top w:val="nil"/>
              <w:left w:val="nil"/>
              <w:bottom w:val="nil"/>
              <w:right w:val="nil"/>
            </w:tcBorders>
            <w:shd w:val="clear" w:color="auto" w:fill="auto"/>
            <w:noWrap/>
            <w:vAlign w:val="top"/>
          </w:tcPr>
          <w:p>
            <w:pPr>
              <w:jc w:val="both"/>
              <w:rPr>
                <w:rFonts w:hint="eastAsia" w:ascii="宋体" w:hAnsi="宋体" w:eastAsia="宋体" w:cs="宋体"/>
                <w:i w:val="0"/>
                <w:iCs w:val="0"/>
                <w:color w:val="000000"/>
                <w:sz w:val="20"/>
                <w:szCs w:val="20"/>
                <w:u w:val="none"/>
              </w:rPr>
            </w:pPr>
          </w:p>
        </w:tc>
      </w:tr>
    </w:tbl>
    <w:p>
      <w:pPr>
        <w:pStyle w:val="14"/>
        <w:ind w:left="0" w:leftChars="0" w:firstLine="0" w:firstLineChars="0"/>
        <w:rPr>
          <w:rFonts w:hint="eastAsia" w:ascii="仿宋_GB2312" w:hAnsi="仿宋_GB2312" w:eastAsia="仿宋_GB2312" w:cs="仿宋_GB2312"/>
          <w:sz w:val="24"/>
          <w:szCs w:val="24"/>
        </w:rPr>
        <w:sectPr>
          <w:footerReference r:id="rId6" w:type="default"/>
          <w:pgSz w:w="16838" w:h="11906" w:orient="landscape"/>
          <w:pgMar w:top="1800" w:right="1440" w:bottom="1800" w:left="1440" w:header="851" w:footer="992" w:gutter="0"/>
          <w:pgNumType w:fmt="decimal"/>
          <w:cols w:space="425" w:num="1"/>
          <w:docGrid w:type="lines" w:linePitch="312" w:charSpace="0"/>
        </w:sectPr>
      </w:pPr>
    </w:p>
    <w:p>
      <w:pPr>
        <w:rPr>
          <w:rFonts w:hint="eastAsia" w:ascii="新宋体" w:hAnsi="新宋体" w:eastAsia="新宋体" w:cs="新宋体"/>
          <w:sz w:val="28"/>
          <w:szCs w:val="28"/>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auto"/>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新宋体">
    <w:altName w:val="方正书宋_GBK"/>
    <w:panose1 w:val="02010609030101010101"/>
    <w:charset w:val="86"/>
    <w:family w:val="auto"/>
    <w:pitch w:val="default"/>
    <w:sig w:usb0="00000000" w:usb1="00000000" w:usb2="0000000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文泉驿正黑">
    <w:panose1 w:val="02000603000000000000"/>
    <w:charset w:val="86"/>
    <w:family w:val="auto"/>
    <w:pitch w:val="default"/>
    <w:sig w:usb0="900002BF" w:usb1="2BDF7DFB" w:usb2="00000036" w:usb3="00000000" w:csb0="603E000D" w:csb1="D2D7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7"/>
          <w:jc w:val="center"/>
        </w:pPr>
        <w:r>
          <w:fldChar w:fldCharType="begin"/>
        </w:r>
        <w:r>
          <w:instrText xml:space="preserve">PAGE   \* MERGEFORMAT</w:instrText>
        </w:r>
        <w:r>
          <w:fldChar w:fldCharType="separate"/>
        </w:r>
        <w:r>
          <w:rPr>
            <w:lang w:val="zh-CN"/>
          </w:rPr>
          <w:t>17</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A4C4D"/>
    <w:multiLevelType w:val="singleLevel"/>
    <w:tmpl w:val="E8FA4C4D"/>
    <w:lvl w:ilvl="0" w:tentative="0">
      <w:start w:val="2"/>
      <w:numFmt w:val="chineseCounting"/>
      <w:suff w:val="nothing"/>
      <w:lvlText w:val="（%1）"/>
      <w:lvlJc w:val="left"/>
      <w:rPr>
        <w:rFonts w:hint="eastAsia"/>
      </w:r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pPr>
        <w:ind w:left="-710"/>
      </w:pPr>
      <w:rPr>
        <w:rFonts w:hint="eastAsia"/>
      </w:rPr>
    </w:lvl>
  </w:abstractNum>
  <w:abstractNum w:abstractNumId="3">
    <w:nsid w:val="38F0C646"/>
    <w:multiLevelType w:val="singleLevel"/>
    <w:tmpl w:val="38F0C646"/>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2NjMyNjJiMGYwMGU2YTBjYjM4YmFjOTc1NzFkMzkifQ=="/>
  </w:docVars>
  <w:rsids>
    <w:rsidRoot w:val="0B1E6B4F"/>
    <w:rsid w:val="00D9012D"/>
    <w:rsid w:val="00DF3F59"/>
    <w:rsid w:val="00FB4547"/>
    <w:rsid w:val="01300309"/>
    <w:rsid w:val="01657919"/>
    <w:rsid w:val="017442FA"/>
    <w:rsid w:val="01791910"/>
    <w:rsid w:val="018D0F17"/>
    <w:rsid w:val="01EF4EF7"/>
    <w:rsid w:val="021F7DC1"/>
    <w:rsid w:val="02353A89"/>
    <w:rsid w:val="03766107"/>
    <w:rsid w:val="038E028D"/>
    <w:rsid w:val="046441B2"/>
    <w:rsid w:val="04BC5D9C"/>
    <w:rsid w:val="04F75026"/>
    <w:rsid w:val="050C5090"/>
    <w:rsid w:val="05197C2D"/>
    <w:rsid w:val="05D67331"/>
    <w:rsid w:val="05EF57E4"/>
    <w:rsid w:val="062C3026"/>
    <w:rsid w:val="071F2612"/>
    <w:rsid w:val="075A7F3B"/>
    <w:rsid w:val="0780000F"/>
    <w:rsid w:val="07C31154"/>
    <w:rsid w:val="07CF2281"/>
    <w:rsid w:val="09685350"/>
    <w:rsid w:val="097A6225"/>
    <w:rsid w:val="09DA5642"/>
    <w:rsid w:val="0A510B74"/>
    <w:rsid w:val="0A59313F"/>
    <w:rsid w:val="0AB65779"/>
    <w:rsid w:val="0AD465EA"/>
    <w:rsid w:val="0B1E6B4F"/>
    <w:rsid w:val="0B3F5205"/>
    <w:rsid w:val="0C1F5710"/>
    <w:rsid w:val="0C6234E6"/>
    <w:rsid w:val="0C822209"/>
    <w:rsid w:val="0CC53C5B"/>
    <w:rsid w:val="0DA82E6A"/>
    <w:rsid w:val="0E460E4F"/>
    <w:rsid w:val="0EB75826"/>
    <w:rsid w:val="0ED70E7F"/>
    <w:rsid w:val="0FED14FF"/>
    <w:rsid w:val="10066A65"/>
    <w:rsid w:val="105453B4"/>
    <w:rsid w:val="11CE710E"/>
    <w:rsid w:val="11FF376C"/>
    <w:rsid w:val="12154734"/>
    <w:rsid w:val="121D0997"/>
    <w:rsid w:val="12752BEF"/>
    <w:rsid w:val="133E13C7"/>
    <w:rsid w:val="14B22D17"/>
    <w:rsid w:val="151823B4"/>
    <w:rsid w:val="15A210AB"/>
    <w:rsid w:val="15DC6F25"/>
    <w:rsid w:val="1612587A"/>
    <w:rsid w:val="164F280E"/>
    <w:rsid w:val="16936F52"/>
    <w:rsid w:val="173731C6"/>
    <w:rsid w:val="180E295A"/>
    <w:rsid w:val="181109B7"/>
    <w:rsid w:val="1A140049"/>
    <w:rsid w:val="1A564F51"/>
    <w:rsid w:val="1ABF7656"/>
    <w:rsid w:val="1B487F31"/>
    <w:rsid w:val="1B840893"/>
    <w:rsid w:val="1C5F3784"/>
    <w:rsid w:val="1C60574F"/>
    <w:rsid w:val="1D507571"/>
    <w:rsid w:val="1D9D2E6B"/>
    <w:rsid w:val="1E894AE9"/>
    <w:rsid w:val="1F566050"/>
    <w:rsid w:val="1F62731D"/>
    <w:rsid w:val="1FA37E2C"/>
    <w:rsid w:val="1FAA11BB"/>
    <w:rsid w:val="20BE2EA1"/>
    <w:rsid w:val="21BE719F"/>
    <w:rsid w:val="21F4496F"/>
    <w:rsid w:val="21FE0B92"/>
    <w:rsid w:val="22196184"/>
    <w:rsid w:val="22717C64"/>
    <w:rsid w:val="22993768"/>
    <w:rsid w:val="234A05BF"/>
    <w:rsid w:val="236E24FF"/>
    <w:rsid w:val="23825060"/>
    <w:rsid w:val="23BC326A"/>
    <w:rsid w:val="25287ADA"/>
    <w:rsid w:val="25744A0D"/>
    <w:rsid w:val="25787665"/>
    <w:rsid w:val="25B84998"/>
    <w:rsid w:val="25E85857"/>
    <w:rsid w:val="26630315"/>
    <w:rsid w:val="27A85F06"/>
    <w:rsid w:val="27AF6A91"/>
    <w:rsid w:val="27CB6172"/>
    <w:rsid w:val="29B11398"/>
    <w:rsid w:val="2A68414C"/>
    <w:rsid w:val="2B0A7C37"/>
    <w:rsid w:val="2B2F07C6"/>
    <w:rsid w:val="2B591CE7"/>
    <w:rsid w:val="2B9E7034"/>
    <w:rsid w:val="2BFB2D9E"/>
    <w:rsid w:val="2C1A1476"/>
    <w:rsid w:val="2C701096"/>
    <w:rsid w:val="2EEA15D4"/>
    <w:rsid w:val="2F88799F"/>
    <w:rsid w:val="300954A7"/>
    <w:rsid w:val="30BD4AC6"/>
    <w:rsid w:val="31465591"/>
    <w:rsid w:val="31F52A85"/>
    <w:rsid w:val="322070BA"/>
    <w:rsid w:val="32235A31"/>
    <w:rsid w:val="32865FFD"/>
    <w:rsid w:val="32FA5B5D"/>
    <w:rsid w:val="33162906"/>
    <w:rsid w:val="335E27A0"/>
    <w:rsid w:val="339A3D17"/>
    <w:rsid w:val="33C365BE"/>
    <w:rsid w:val="33F14691"/>
    <w:rsid w:val="33FC1696"/>
    <w:rsid w:val="34713BFD"/>
    <w:rsid w:val="34AC2E87"/>
    <w:rsid w:val="354D3BD6"/>
    <w:rsid w:val="3575771D"/>
    <w:rsid w:val="35B25AB6"/>
    <w:rsid w:val="36624145"/>
    <w:rsid w:val="36E44B5A"/>
    <w:rsid w:val="36E92171"/>
    <w:rsid w:val="372C02AF"/>
    <w:rsid w:val="38623649"/>
    <w:rsid w:val="3894610C"/>
    <w:rsid w:val="39262B30"/>
    <w:rsid w:val="396B3311"/>
    <w:rsid w:val="39A30DB5"/>
    <w:rsid w:val="3AA27206"/>
    <w:rsid w:val="3ADE0ED3"/>
    <w:rsid w:val="3B7C461F"/>
    <w:rsid w:val="3BAC19BF"/>
    <w:rsid w:val="3BAC33C2"/>
    <w:rsid w:val="3BC66F24"/>
    <w:rsid w:val="3C6D1AC5"/>
    <w:rsid w:val="3CE358B4"/>
    <w:rsid w:val="3D204322"/>
    <w:rsid w:val="3DAE593B"/>
    <w:rsid w:val="3DBF1E7D"/>
    <w:rsid w:val="3F2301EA"/>
    <w:rsid w:val="3F2D72BA"/>
    <w:rsid w:val="3F7B0026"/>
    <w:rsid w:val="3FCD1618"/>
    <w:rsid w:val="40D051F2"/>
    <w:rsid w:val="415B010F"/>
    <w:rsid w:val="416F3A16"/>
    <w:rsid w:val="42E93B5B"/>
    <w:rsid w:val="43611516"/>
    <w:rsid w:val="43AE5F4B"/>
    <w:rsid w:val="43CA50D8"/>
    <w:rsid w:val="440336C7"/>
    <w:rsid w:val="452A2AD5"/>
    <w:rsid w:val="4536178A"/>
    <w:rsid w:val="455925D8"/>
    <w:rsid w:val="45A300DD"/>
    <w:rsid w:val="45BC0C85"/>
    <w:rsid w:val="462D22EA"/>
    <w:rsid w:val="466435C2"/>
    <w:rsid w:val="46967F48"/>
    <w:rsid w:val="46B2764F"/>
    <w:rsid w:val="46CD22A9"/>
    <w:rsid w:val="478A3170"/>
    <w:rsid w:val="478A4CF6"/>
    <w:rsid w:val="47AD6EE6"/>
    <w:rsid w:val="482E25FC"/>
    <w:rsid w:val="4847319B"/>
    <w:rsid w:val="48783354"/>
    <w:rsid w:val="49EF3AEA"/>
    <w:rsid w:val="49F92273"/>
    <w:rsid w:val="4A016901"/>
    <w:rsid w:val="4B9A78C8"/>
    <w:rsid w:val="4BA42578"/>
    <w:rsid w:val="4BC10550"/>
    <w:rsid w:val="4C2E1C6C"/>
    <w:rsid w:val="4D6A5796"/>
    <w:rsid w:val="4E285CDD"/>
    <w:rsid w:val="4E422524"/>
    <w:rsid w:val="4E52289A"/>
    <w:rsid w:val="4E7A0A87"/>
    <w:rsid w:val="4EE803ED"/>
    <w:rsid w:val="4F29184C"/>
    <w:rsid w:val="4F563CC4"/>
    <w:rsid w:val="4FA113E3"/>
    <w:rsid w:val="50402154"/>
    <w:rsid w:val="50404643"/>
    <w:rsid w:val="524A4729"/>
    <w:rsid w:val="52A1541C"/>
    <w:rsid w:val="52AF39FE"/>
    <w:rsid w:val="52DB1B50"/>
    <w:rsid w:val="5368429E"/>
    <w:rsid w:val="536F6083"/>
    <w:rsid w:val="53810704"/>
    <w:rsid w:val="54183C3E"/>
    <w:rsid w:val="542C1497"/>
    <w:rsid w:val="5445741F"/>
    <w:rsid w:val="5449120A"/>
    <w:rsid w:val="55366A71"/>
    <w:rsid w:val="553B4087"/>
    <w:rsid w:val="554C26BD"/>
    <w:rsid w:val="56DA167E"/>
    <w:rsid w:val="56E37C18"/>
    <w:rsid w:val="574A2360"/>
    <w:rsid w:val="57511449"/>
    <w:rsid w:val="57E00F16"/>
    <w:rsid w:val="580C1DB3"/>
    <w:rsid w:val="583A7A46"/>
    <w:rsid w:val="58785B62"/>
    <w:rsid w:val="587873A1"/>
    <w:rsid w:val="58D148E2"/>
    <w:rsid w:val="5B2E1820"/>
    <w:rsid w:val="5B737BE0"/>
    <w:rsid w:val="5B8C0CA2"/>
    <w:rsid w:val="5C005890"/>
    <w:rsid w:val="5CA01745"/>
    <w:rsid w:val="5CD051F5"/>
    <w:rsid w:val="5D5B47F4"/>
    <w:rsid w:val="5DF46579"/>
    <w:rsid w:val="5DFE5C52"/>
    <w:rsid w:val="5E986F61"/>
    <w:rsid w:val="5EB56C59"/>
    <w:rsid w:val="5F155949"/>
    <w:rsid w:val="5F5917A7"/>
    <w:rsid w:val="5F66462A"/>
    <w:rsid w:val="5FAD16DE"/>
    <w:rsid w:val="5FD27396"/>
    <w:rsid w:val="601C6864"/>
    <w:rsid w:val="60624BBE"/>
    <w:rsid w:val="60963565"/>
    <w:rsid w:val="60C767CF"/>
    <w:rsid w:val="61446072"/>
    <w:rsid w:val="619A3EE4"/>
    <w:rsid w:val="6299419B"/>
    <w:rsid w:val="62FD4869"/>
    <w:rsid w:val="63351CAA"/>
    <w:rsid w:val="633D0FCB"/>
    <w:rsid w:val="635B67D6"/>
    <w:rsid w:val="639C0E1B"/>
    <w:rsid w:val="63D873CA"/>
    <w:rsid w:val="63DC4C88"/>
    <w:rsid w:val="64512DB0"/>
    <w:rsid w:val="64903815"/>
    <w:rsid w:val="64DD2A65"/>
    <w:rsid w:val="650368EF"/>
    <w:rsid w:val="65E676F8"/>
    <w:rsid w:val="65F04A1A"/>
    <w:rsid w:val="663B00BC"/>
    <w:rsid w:val="66A90583"/>
    <w:rsid w:val="66BE798B"/>
    <w:rsid w:val="672A5D0A"/>
    <w:rsid w:val="673F666C"/>
    <w:rsid w:val="688417DE"/>
    <w:rsid w:val="68CF0917"/>
    <w:rsid w:val="68F05ACE"/>
    <w:rsid w:val="69205616"/>
    <w:rsid w:val="69513A22"/>
    <w:rsid w:val="6999443A"/>
    <w:rsid w:val="699F5C23"/>
    <w:rsid w:val="6A280C56"/>
    <w:rsid w:val="6A635D10"/>
    <w:rsid w:val="6A952A22"/>
    <w:rsid w:val="6AF503DD"/>
    <w:rsid w:val="6B5119FB"/>
    <w:rsid w:val="6C1F3963"/>
    <w:rsid w:val="6C663340"/>
    <w:rsid w:val="6CA420BB"/>
    <w:rsid w:val="6CC369E5"/>
    <w:rsid w:val="6CF17004"/>
    <w:rsid w:val="6D4D45DB"/>
    <w:rsid w:val="6E0E3C8F"/>
    <w:rsid w:val="6EC96431"/>
    <w:rsid w:val="6FDC3B4E"/>
    <w:rsid w:val="6FE84420"/>
    <w:rsid w:val="703B5DC1"/>
    <w:rsid w:val="70541937"/>
    <w:rsid w:val="706D792C"/>
    <w:rsid w:val="7086564E"/>
    <w:rsid w:val="70BA1A32"/>
    <w:rsid w:val="70BD17DF"/>
    <w:rsid w:val="70E92792"/>
    <w:rsid w:val="71D13952"/>
    <w:rsid w:val="720B63B5"/>
    <w:rsid w:val="7251791D"/>
    <w:rsid w:val="726E28BB"/>
    <w:rsid w:val="73005DA6"/>
    <w:rsid w:val="73CA0F4C"/>
    <w:rsid w:val="746D3939"/>
    <w:rsid w:val="7491561A"/>
    <w:rsid w:val="74F31E31"/>
    <w:rsid w:val="750B31FF"/>
    <w:rsid w:val="753C7334"/>
    <w:rsid w:val="763E26CA"/>
    <w:rsid w:val="765D3A06"/>
    <w:rsid w:val="775032EA"/>
    <w:rsid w:val="77A3469E"/>
    <w:rsid w:val="780B73A4"/>
    <w:rsid w:val="79830FD2"/>
    <w:rsid w:val="7A6537B6"/>
    <w:rsid w:val="7B66335D"/>
    <w:rsid w:val="7B6F4DBE"/>
    <w:rsid w:val="7B701181"/>
    <w:rsid w:val="7C3945CD"/>
    <w:rsid w:val="7CEA218F"/>
    <w:rsid w:val="7DBA7CAB"/>
    <w:rsid w:val="7DBD6980"/>
    <w:rsid w:val="7DDE7A9E"/>
    <w:rsid w:val="7E8E6727"/>
    <w:rsid w:val="7EB95812"/>
    <w:rsid w:val="7FAB5F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outlineLvl w:val="0"/>
    </w:pPr>
    <w:rPr>
      <w:rFonts w:ascii="黑体" w:eastAsia="黑体"/>
      <w:bCs/>
      <w:kern w:val="44"/>
      <w:szCs w:val="44"/>
    </w:rPr>
  </w:style>
  <w:style w:type="paragraph" w:styleId="4">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annotation text"/>
    <w:basedOn w:val="1"/>
    <w:qFormat/>
    <w:uiPriority w:val="0"/>
    <w:pPr>
      <w:jc w:val="left"/>
    </w:pPr>
  </w:style>
  <w:style w:type="paragraph" w:styleId="6">
    <w:name w:val="Body Text Indent"/>
    <w:basedOn w:val="1"/>
    <w:qFormat/>
    <w:uiPriority w:val="0"/>
    <w:pPr>
      <w:spacing w:line="360" w:lineRule="auto"/>
      <w:ind w:firstLine="540"/>
      <w:jc w:val="left"/>
    </w:pPr>
    <w:rPr>
      <w:rFonts w:ascii="仿宋_GB2312" w:eastAsia="仿宋_GB2312"/>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widowControl/>
      <w:spacing w:after="100" w:line="259" w:lineRule="auto"/>
      <w:jc w:val="left"/>
    </w:pPr>
    <w:rPr>
      <w:rFonts w:ascii="Calibri" w:hAnsi="Calibri" w:eastAsia="宋体"/>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Calibri" w:hAnsi="Calibri" w:eastAsia="宋体"/>
      <w:kern w:val="0"/>
      <w:sz w:val="22"/>
      <w:szCs w:val="22"/>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Cambria" w:hAnsi="Cambria" w:eastAsia="宋体"/>
      <w:b/>
      <w:bCs/>
      <w:kern w:val="28"/>
      <w:sz w:val="32"/>
      <w:szCs w:val="32"/>
    </w:rPr>
  </w:style>
  <w:style w:type="paragraph" w:styleId="13">
    <w:name w:val="Body Text First Indent"/>
    <w:basedOn w:val="2"/>
    <w:qFormat/>
    <w:uiPriority w:val="0"/>
    <w:pPr>
      <w:spacing w:after="0"/>
      <w:ind w:firstLine="200" w:firstLineChars="200"/>
    </w:pPr>
  </w:style>
  <w:style w:type="paragraph" w:styleId="14">
    <w:name w:val="Body Text First Indent 2"/>
    <w:basedOn w:val="6"/>
    <w:qFormat/>
    <w:uiPriority w:val="0"/>
    <w:pPr>
      <w:ind w:firstLine="420" w:firstLineChars="200"/>
      <w:jc w:val="both"/>
    </w:pPr>
    <w:rPr>
      <w:color w:val="00000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rFonts w:ascii="Times New Roman" w:hAnsi="Times New Roman" w:eastAsia="宋体" w:cs="Times New Roman"/>
      <w:b/>
      <w:bCs/>
    </w:rPr>
  </w:style>
  <w:style w:type="character" w:styleId="19">
    <w:name w:val="Hyperlink"/>
    <w:basedOn w:val="17"/>
    <w:unhideWhenUsed/>
    <w:qFormat/>
    <w:uiPriority w:val="99"/>
    <w:rPr>
      <w:color w:val="0000FF"/>
      <w:u w:val="single"/>
    </w:rPr>
  </w:style>
  <w:style w:type="paragraph" w:customStyle="1" w:styleId="20">
    <w:name w:val="TOC Heading"/>
    <w:basedOn w:val="3"/>
    <w:next w:val="1"/>
    <w:unhideWhenUsed/>
    <w:qFormat/>
    <w:uiPriority w:val="39"/>
    <w:pPr>
      <w:widowControl/>
      <w:spacing w:before="240" w:after="0" w:line="259" w:lineRule="auto"/>
      <w:jc w:val="left"/>
      <w:outlineLvl w:val="9"/>
    </w:pPr>
    <w:rPr>
      <w:rFonts w:ascii="Cambria" w:hAnsi="Cambria" w:eastAsia="宋体" w:cs="Times New Roman"/>
      <w:bCs w:val="0"/>
      <w:color w:val="366091"/>
      <w:kern w:val="0"/>
      <w:sz w:val="32"/>
      <w:szCs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character" w:customStyle="1" w:styleId="22">
    <w:name w:val="fontstyle01"/>
    <w:qFormat/>
    <w:uiPriority w:val="0"/>
    <w:rPr>
      <w:rFonts w:ascii="仿宋_GB2312" w:hAnsi="仿宋_GB2312" w:eastAsia="仿宋_GB2312" w:cs="仿宋_GB2312"/>
      <w:color w:val="000000"/>
      <w:sz w:val="32"/>
      <w:szCs w:val="32"/>
    </w:rPr>
  </w:style>
  <w:style w:type="paragraph" w:customStyle="1" w:styleId="23">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365</Words>
  <Characters>387</Characters>
  <Lines>0</Lines>
  <Paragraphs>0</Paragraphs>
  <TotalTime>6</TotalTime>
  <ScaleCrop>false</ScaleCrop>
  <LinksUpToDate>false</LinksUpToDate>
  <CharactersWithSpaces>452</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2021-02-26T12:22:00Z</dcterms:created>
  <dc:creator>1</dc:creator>
  <cp:lastModifiedBy>user</cp:lastModifiedBy>
  <dcterms:modified xsi:type="dcterms:W3CDTF">2025-08-27T18:19:07Z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8FF4EFE1BD414AB681A5537715AD4591_13</vt:lpwstr>
  </property>
  <property fmtid="{D5CDD505-2E9C-101B-9397-08002B2CF9AE}" pid="4" name="KSOTemplateDocerSaveRecord">
    <vt:lpwstr>eyJoZGlkIjoiZDg4ZTk4ZThiOTlhYTkyOGVkOWQ5NDlhNjIwNjNhNzEiLCJ1c2VySWQiOiI2MDc4Mzg5MzQifQ==</vt:lpwstr>
  </property>
</Properties>
</file>