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71FDC">
      <w:pPr>
        <w:spacing w:line="540" w:lineRule="exact"/>
        <w:jc w:val="center"/>
        <w:rPr>
          <w:rFonts w:hint="default" w:ascii="Times New Roman" w:hAnsi="Times New Roman" w:eastAsia="华文中宋" w:cs="Times New Roman"/>
          <w:b/>
          <w:kern w:val="0"/>
          <w:sz w:val="52"/>
          <w:szCs w:val="52"/>
        </w:rPr>
      </w:pPr>
    </w:p>
    <w:p w14:paraId="3B9F48E8">
      <w:pPr>
        <w:spacing w:line="540" w:lineRule="exact"/>
        <w:rPr>
          <w:rFonts w:hint="default" w:ascii="Times New Roman" w:hAnsi="Times New Roman" w:eastAsia="华文中宋" w:cs="Times New Roman"/>
          <w:b/>
          <w:kern w:val="0"/>
          <w:sz w:val="52"/>
          <w:szCs w:val="52"/>
        </w:rPr>
      </w:pPr>
    </w:p>
    <w:p w14:paraId="58DCC2FE">
      <w:pPr>
        <w:spacing w:line="540" w:lineRule="exact"/>
        <w:jc w:val="center"/>
        <w:rPr>
          <w:rFonts w:hint="default" w:ascii="Times New Roman" w:hAnsi="Times New Roman" w:eastAsia="华文中宋" w:cs="Times New Roman"/>
          <w:b/>
          <w:kern w:val="0"/>
          <w:sz w:val="52"/>
          <w:szCs w:val="52"/>
        </w:rPr>
      </w:pPr>
    </w:p>
    <w:p w14:paraId="0F6878B5">
      <w:pPr>
        <w:spacing w:line="540" w:lineRule="exact"/>
        <w:jc w:val="center"/>
        <w:rPr>
          <w:rFonts w:hint="default" w:ascii="Times New Roman" w:hAnsi="Times New Roman" w:eastAsia="华文中宋" w:cs="Times New Roman"/>
          <w:b/>
          <w:kern w:val="0"/>
          <w:sz w:val="52"/>
          <w:szCs w:val="52"/>
        </w:rPr>
      </w:pPr>
    </w:p>
    <w:p w14:paraId="5A2301FB">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原新疆日用玻璃厂职工档案数字化项目支出绩效评价报告</w:t>
      </w:r>
    </w:p>
    <w:p w14:paraId="1CF986BB">
      <w:pPr>
        <w:spacing w:line="540" w:lineRule="exact"/>
        <w:jc w:val="center"/>
        <w:rPr>
          <w:rFonts w:hint="default" w:ascii="Times New Roman" w:hAnsi="Times New Roman" w:eastAsia="华文中宋" w:cs="Times New Roman"/>
          <w:b/>
          <w:kern w:val="0"/>
          <w:sz w:val="52"/>
          <w:szCs w:val="52"/>
        </w:rPr>
      </w:pPr>
    </w:p>
    <w:p w14:paraId="1DF79680">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3FEC954E">
      <w:pPr>
        <w:spacing w:line="540" w:lineRule="exact"/>
        <w:jc w:val="center"/>
        <w:rPr>
          <w:rFonts w:hint="default" w:ascii="Times New Roman" w:hAnsi="Times New Roman" w:eastAsia="仿宋_GB2312" w:cs="Times New Roman"/>
          <w:kern w:val="0"/>
          <w:sz w:val="30"/>
          <w:szCs w:val="30"/>
        </w:rPr>
      </w:pPr>
    </w:p>
    <w:p w14:paraId="25024F7E">
      <w:pPr>
        <w:spacing w:line="540" w:lineRule="exact"/>
        <w:jc w:val="center"/>
        <w:rPr>
          <w:rFonts w:hint="default" w:ascii="Times New Roman" w:hAnsi="Times New Roman" w:eastAsia="仿宋_GB2312" w:cs="Times New Roman"/>
          <w:kern w:val="0"/>
          <w:sz w:val="30"/>
          <w:szCs w:val="30"/>
        </w:rPr>
      </w:pPr>
    </w:p>
    <w:p w14:paraId="69927593">
      <w:pPr>
        <w:spacing w:line="540" w:lineRule="exact"/>
        <w:jc w:val="center"/>
        <w:rPr>
          <w:rFonts w:hint="default" w:ascii="Times New Roman" w:hAnsi="Times New Roman" w:eastAsia="仿宋_GB2312" w:cs="Times New Roman"/>
          <w:kern w:val="0"/>
          <w:sz w:val="30"/>
          <w:szCs w:val="30"/>
        </w:rPr>
      </w:pPr>
    </w:p>
    <w:p w14:paraId="781379DA">
      <w:pPr>
        <w:pStyle w:val="2"/>
        <w:rPr>
          <w:rFonts w:hint="default" w:ascii="Times New Roman" w:hAnsi="Times New Roman" w:cs="Times New Roman"/>
        </w:rPr>
      </w:pPr>
    </w:p>
    <w:p w14:paraId="60C46448">
      <w:pPr>
        <w:spacing w:line="540" w:lineRule="exact"/>
        <w:jc w:val="center"/>
        <w:rPr>
          <w:rFonts w:hint="default" w:ascii="Times New Roman" w:hAnsi="Times New Roman" w:eastAsia="仿宋_GB2312" w:cs="Times New Roman"/>
          <w:kern w:val="0"/>
          <w:sz w:val="30"/>
          <w:szCs w:val="30"/>
        </w:rPr>
      </w:pPr>
    </w:p>
    <w:p w14:paraId="26201638">
      <w:pPr>
        <w:spacing w:line="540" w:lineRule="exact"/>
        <w:rPr>
          <w:rFonts w:hint="default" w:ascii="Times New Roman" w:hAnsi="Times New Roman" w:eastAsia="仿宋_GB2312" w:cs="Times New Roman"/>
          <w:kern w:val="0"/>
          <w:sz w:val="30"/>
          <w:szCs w:val="30"/>
        </w:rPr>
      </w:pPr>
    </w:p>
    <w:p w14:paraId="4CEEE1CD">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r>
        <w:rPr>
          <w:rFonts w:hint="default" w:ascii="Times New Roman" w:hAnsi="Times New Roman" w:eastAsia="仿宋_GB2312" w:cs="Times New Roman"/>
          <w:spacing w:val="-20"/>
          <w:kern w:val="0"/>
          <w:sz w:val="36"/>
          <w:szCs w:val="36"/>
        </w:rPr>
        <w:t>原新疆日用玻璃厂职工档案数字化项目</w:t>
      </w:r>
    </w:p>
    <w:p w14:paraId="60AF6A0F">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自治区工业和信息化厅</w:t>
      </w:r>
    </w:p>
    <w:p w14:paraId="4F4D058E">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张百武</w:t>
      </w:r>
    </w:p>
    <w:p w14:paraId="4600D544">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21</w:t>
      </w:r>
      <w:r>
        <w:rPr>
          <w:rFonts w:hint="default" w:ascii="Times New Roman" w:hAnsi="Times New Roman" w:eastAsia="仿宋_GB2312" w:cs="Times New Roman"/>
          <w:kern w:val="0"/>
          <w:sz w:val="36"/>
          <w:szCs w:val="36"/>
        </w:rPr>
        <w:t>日</w:t>
      </w:r>
    </w:p>
    <w:p w14:paraId="2392DE49">
      <w:pPr>
        <w:spacing w:line="540" w:lineRule="exact"/>
        <w:jc w:val="center"/>
        <w:rPr>
          <w:rFonts w:hint="default" w:ascii="Times New Roman" w:hAnsi="Times New Roman" w:eastAsia="仿宋_GB2312" w:cs="Times New Roman"/>
          <w:kern w:val="0"/>
          <w:sz w:val="30"/>
          <w:szCs w:val="30"/>
        </w:rPr>
      </w:pPr>
    </w:p>
    <w:p w14:paraId="665AD14F">
      <w:pPr>
        <w:spacing w:line="540" w:lineRule="exact"/>
        <w:rPr>
          <w:rStyle w:val="16"/>
          <w:rFonts w:hint="default" w:ascii="Times New Roman" w:hAnsi="Times New Roman" w:eastAsia="黑体" w:cs="Times New Roman"/>
          <w:b w:val="0"/>
          <w:spacing w:val="-4"/>
          <w:sz w:val="32"/>
          <w:szCs w:val="32"/>
        </w:rPr>
      </w:pPr>
    </w:p>
    <w:p w14:paraId="3266B44C">
      <w:pPr>
        <w:spacing w:line="540" w:lineRule="exact"/>
        <w:ind w:firstLine="640"/>
        <w:rPr>
          <w:rStyle w:val="16"/>
          <w:rFonts w:hint="default" w:ascii="Times New Roman" w:hAnsi="Times New Roman" w:eastAsia="黑体" w:cs="Times New Roman"/>
          <w:b w:val="0"/>
          <w:spacing w:val="-4"/>
          <w:sz w:val="32"/>
          <w:szCs w:val="32"/>
        </w:rPr>
      </w:pPr>
    </w:p>
    <w:p w14:paraId="03001E68">
      <w:pPr>
        <w:spacing w:line="540" w:lineRule="exact"/>
        <w:rPr>
          <w:rStyle w:val="16"/>
          <w:rFonts w:hint="default" w:ascii="Times New Roman" w:hAnsi="Times New Roman" w:eastAsia="黑体" w:cs="Times New Roman"/>
          <w:b w:val="0"/>
          <w:spacing w:val="-4"/>
          <w:sz w:val="32"/>
          <w:szCs w:val="32"/>
        </w:rPr>
      </w:pPr>
    </w:p>
    <w:p w14:paraId="6F5A4484">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3F5940B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14:paraId="205C4990">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14:paraId="2C1DFE31">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14:paraId="3179794A">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原新疆日用玻璃厂是原轻工行办直属国有企业，2003年破产，机构改革时划入自治区工业和信息化厅，历史遗留问题由自治区工业和信息化厅处理。原新疆日用玻璃厂存储了大量的文书、科技及职工人事档案，破产终结时，档案由破产清算组委托下岗滞留职工代管，档案存放杂乱，查找利用困难，现代管人员已退休，为保障相关档案的安全完整，由轻工业行业管理处牵头接收相关档案并开展档案数字化工作。</w:t>
      </w:r>
    </w:p>
    <w:p w14:paraId="4F874CAE">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仿宋_GB2312" w:cs="Times New Roman"/>
          <w:kern w:val="2"/>
          <w:highlight w:val="none"/>
          <w:lang w:val="en-US" w:eastAsia="zh-CN"/>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r>
        <w:rPr>
          <w:rFonts w:hint="eastAsia" w:ascii="Times New Roman" w:hAnsi="Times New Roman" w:eastAsia="仿宋_GB2312" w:cs="Times New Roman"/>
          <w:kern w:val="2"/>
          <w:highlight w:val="none"/>
          <w:lang w:val="en-US" w:eastAsia="zh-CN"/>
        </w:rPr>
        <w:t>及实施情况</w:t>
      </w:r>
    </w:p>
    <w:p w14:paraId="3782BCA6">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黑体" w:cs="Times New Roman"/>
          <w:highlight w:val="none"/>
          <w:lang w:eastAsia="zh-CN"/>
        </w:rPr>
      </w:pPr>
      <w:r>
        <w:rPr>
          <w:rFonts w:hint="default" w:ascii="Times New Roman" w:hAnsi="Times New Roman" w:eastAsia="仿宋_GB2312" w:cs="Times New Roman"/>
          <w:sz w:val="30"/>
          <w:szCs w:val="30"/>
          <w:highlight w:val="none"/>
          <w:lang w:val="en-US" w:eastAsia="zh-CN"/>
        </w:rPr>
        <w:t>项目主要内容：原新疆日用玻璃厂职工档案1.1万件，扫描数量11万页，著录条目1.1万条，需要进行档案规范化整理、数字化扫描和信息录入。档案规范化整理包括：拆卷、打印封面、卷内目录制作、备考表制作、装订等，数字化扫描包括：扫描、修图、校对、分图、质检、打包、图像上传等，信息录入包括：检查核对档案编页、目录调整、字段信息录入等。</w:t>
      </w:r>
    </w:p>
    <w:p w14:paraId="6527CC77">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0"/>
          <w:szCs w:val="30"/>
          <w:highlight w:val="none"/>
          <w:lang w:val="en-US" w:eastAsia="zh-CN"/>
        </w:rPr>
        <w:t>项目实施情况：</w:t>
      </w:r>
      <w:r>
        <w:rPr>
          <w:rFonts w:hint="eastAsia" w:ascii="Times New Roman" w:hAnsi="Times New Roman" w:eastAsia="仿宋_GB2312" w:cs="Times New Roman"/>
          <w:sz w:val="30"/>
          <w:szCs w:val="30"/>
          <w:highlight w:val="none"/>
          <w:lang w:val="en-US" w:eastAsia="zh-CN"/>
        </w:rPr>
        <w:t>已完成对</w:t>
      </w:r>
      <w:r>
        <w:rPr>
          <w:rFonts w:hint="default" w:ascii="Times New Roman" w:hAnsi="Times New Roman" w:eastAsia="仿宋_GB2312" w:cs="Times New Roman"/>
          <w:sz w:val="30"/>
          <w:szCs w:val="30"/>
          <w:highlight w:val="none"/>
          <w:lang w:val="en-US" w:eastAsia="zh-CN"/>
        </w:rPr>
        <w:t>原新疆日用玻璃厂职工档案数量1.1万件</w:t>
      </w:r>
      <w:r>
        <w:rPr>
          <w:rFonts w:hint="eastAsia" w:eastAsia="仿宋_GB2312" w:cs="Times New Roman"/>
          <w:sz w:val="30"/>
          <w:szCs w:val="30"/>
          <w:highlight w:val="none"/>
          <w:lang w:val="en-US" w:eastAsia="zh-CN"/>
        </w:rPr>
        <w:t>的整理、录入等数字化工作。</w:t>
      </w:r>
    </w:p>
    <w:p w14:paraId="79BD20B5">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14:paraId="0FAAC1E9">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740B5BD9">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lang w:val="en-US" w:eastAsia="zh-CN"/>
        </w:rPr>
        <w:t>万元，该项目资金已全部落实到位，资金来源为其他资金。</w:t>
      </w:r>
    </w:p>
    <w:p w14:paraId="2A669A42">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66ABDAD7">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14.75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98</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完成</w:t>
      </w:r>
      <w:r>
        <w:rPr>
          <w:rFonts w:hint="default" w:ascii="Times New Roman" w:hAnsi="Times New Roman" w:eastAsia="仿宋_GB2312" w:cs="Times New Roman"/>
          <w:sz w:val="30"/>
          <w:szCs w:val="30"/>
          <w:highlight w:val="none"/>
          <w:lang w:val="en-US" w:eastAsia="zh-CN"/>
        </w:rPr>
        <w:t>原新疆日用玻璃厂职工档案</w:t>
      </w:r>
      <w:r>
        <w:rPr>
          <w:rFonts w:hint="eastAsia" w:eastAsia="仿宋_GB2312" w:cs="Times New Roman"/>
          <w:sz w:val="30"/>
          <w:szCs w:val="30"/>
          <w:highlight w:val="none"/>
          <w:lang w:val="en-US" w:eastAsia="zh-CN"/>
        </w:rPr>
        <w:t>数字化项目</w:t>
      </w:r>
      <w:r>
        <w:rPr>
          <w:rFonts w:hint="default" w:ascii="Times New Roman" w:hAnsi="Times New Roman" w:eastAsia="仿宋_GB2312" w:cs="Times New Roman"/>
          <w:sz w:val="32"/>
          <w:szCs w:val="32"/>
          <w:highlight w:val="none"/>
          <w:lang w:val="en-US" w:eastAsia="zh-CN"/>
        </w:rPr>
        <w:t>。</w:t>
      </w:r>
    </w:p>
    <w:p w14:paraId="222A27F8">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14:paraId="0E6BCBC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14:paraId="5A5BD07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对原新疆日用玻璃厂职工档案数字化，更好处理机构改革历史遗留问题，有效助推解决企业档案存储和查询等问题。</w:t>
      </w:r>
    </w:p>
    <w:p w14:paraId="1FC71C0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14:paraId="00CE3C9E">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eastAsia="仿宋_GB2312"/>
          <w:sz w:val="32"/>
          <w:szCs w:val="32"/>
          <w:highlight w:val="none"/>
        </w:rPr>
      </w:pPr>
      <w:r>
        <w:rPr>
          <w:rFonts w:eastAsia="仿宋_GB2312"/>
          <w:sz w:val="32"/>
          <w:szCs w:val="32"/>
          <w:highlight w:val="none"/>
        </w:rPr>
        <w:t>（1）前期准备：通过制定项目实施方案，经项目负责人审核通过后，有序开展后续工作。</w:t>
      </w:r>
    </w:p>
    <w:p w14:paraId="37DE869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highlight w:val="none"/>
        </w:rPr>
      </w:pPr>
      <w:r>
        <w:rPr>
          <w:rFonts w:eastAsia="仿宋_GB2312"/>
          <w:sz w:val="32"/>
          <w:szCs w:val="32"/>
          <w:highlight w:val="none"/>
        </w:rPr>
        <w:t>（2）组织实施：资金一到位，立即根据项目要求实施项目。项目责任人按照项目实施方案要求逐一进行项目部署安提高项目质量及效率。</w:t>
      </w:r>
    </w:p>
    <w:p w14:paraId="5C8CD55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14:paraId="1F1EDB9E">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14:paraId="2B3B9EB7">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1FB7BC6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61E4518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力求全方位反映项目的绩效状况。同时，对于每个指标的评价标准和数据来源均进行了明确说明，确保评价结果的客观性和可追溯性。</w:t>
      </w:r>
    </w:p>
    <w:p w14:paraId="27B892B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14:paraId="46D06C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7D23AC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通过对项目预算执行情况及各项绩效目标达成程度的系统性分析，全面、客观地评估项目在预定周期内的实施效果，为项目后续的改进与优化提供科学依据。</w:t>
      </w:r>
    </w:p>
    <w:p w14:paraId="5707BE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）强化项目管理责任</w:t>
      </w:r>
    </w:p>
    <w:p w14:paraId="4D7205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围绕</w:t>
      </w:r>
      <w:r>
        <w:rPr>
          <w:rFonts w:hint="default" w:ascii="Times New Roman" w:hAnsi="Times New Roman" w:eastAsia="仿宋_GB2312" w:cs="Times New Roman"/>
          <w:sz w:val="32"/>
          <w:szCs w:val="32"/>
          <w:highlight w:val="none"/>
        </w:rPr>
        <w:t>项目各参与主体在预算绩效管理中的职责与任务，主动优化管理流程，完善内部控制机制，提高项目管理水平与执行力，保障项目按计划、高质量推进。</w:t>
      </w:r>
    </w:p>
    <w:p w14:paraId="26970326">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本项目预算绩效评价报告的编制以提升项目绩效为核心，旨在通过科学、严谨的评价工作，为项目管理与决策提供全方位、深层次的支持，推动项目在预算约束下实现高质量、可持续发展。</w:t>
      </w:r>
    </w:p>
    <w:p w14:paraId="19042E03">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14:paraId="61D65C1A">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本项目预算绩效评价报告的评价对象是原新疆日用玻璃厂职工档案数字化项目及其预算执行情况。该项目由</w:t>
      </w:r>
      <w:r>
        <w:rPr>
          <w:rFonts w:hint="eastAsia" w:ascii="Times New Roman" w:hAnsi="Times New Roman" w:eastAsia="仿宋_GB2312" w:cs="Times New Roman"/>
          <w:b w:val="0"/>
          <w:bCs w:val="0"/>
          <w:highlight w:val="none"/>
          <w:lang w:eastAsia="zh-CN"/>
        </w:rPr>
        <w:t>轻工业行业管理处</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highlight w:val="none"/>
          <w:lang w:eastAsia="zh-CN"/>
        </w:rPr>
        <w:t>对原新疆日用玻璃厂职工档案数字化</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2024年8月6日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2024年12月9日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14.75</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0608AC4C">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14:paraId="6F061B7A">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3EB5F0D9">
      <w:pPr>
        <w:pStyle w:val="2"/>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3C6A7532">
      <w:pPr>
        <w:pStyle w:val="2"/>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65BB8893">
      <w:pPr>
        <w:pStyle w:val="2"/>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3DDBCD01">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14:paraId="2F163AF4">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14:paraId="42E1D5B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5075B5AC">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14:paraId="24221EB2">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w:t>
      </w:r>
      <w:r>
        <w:rPr>
          <w:rFonts w:hint="eastAsia"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val="0"/>
          <w:bCs w:val="0"/>
          <w:highlight w:val="none"/>
        </w:rPr>
        <w:t>）公开透明。绩效评价结果应依法依规公开，并自觉接受社会监督。</w:t>
      </w:r>
    </w:p>
    <w:p w14:paraId="34291171">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14:paraId="7F6C62EC">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0942F667">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14:paraId="2FFE73D2">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7D73C4FD">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14:paraId="279D1BEC">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6A37A648">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14:paraId="25F99A69">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1B28CE8C">
      <w:pPr>
        <w:pStyle w:val="2"/>
        <w:keepNext w:val="0"/>
        <w:keepLines w:val="0"/>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14:paraId="63EF9951">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14:paraId="77AAF4E0">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14:paraId="246D20CA">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绩效评价从项目决策、项目过程、项目产出、项目效益四个维度进行评价。评价对象为项目目标实施情况，评价核心为资金的支出完成情况和项目的产出效益。</w:t>
      </w:r>
    </w:p>
    <w:p w14:paraId="374AE620">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37F7D584">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14:paraId="45F91648">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二</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14:paraId="0F0453DA">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三</w:t>
      </w:r>
      <w:r>
        <w:rPr>
          <w:rFonts w:hint="default" w:ascii="Times New Roman" w:hAnsi="Times New Roman" w:eastAsia="仿宋_GB2312" w:cs="Times New Roman"/>
          <w:color w:val="000000"/>
          <w:spacing w:val="17"/>
          <w:sz w:val="32"/>
          <w:szCs w:val="32"/>
          <w:highlight w:val="none"/>
        </w:rPr>
        <w:t>）最低成本法。是指在绩效目标确定的前提下，成本最小者为优的方法。</w:t>
      </w:r>
    </w:p>
    <w:p w14:paraId="26F34ACE">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四</w:t>
      </w:r>
      <w:r>
        <w:rPr>
          <w:rFonts w:hint="default" w:ascii="Times New Roman" w:hAnsi="Times New Roman" w:eastAsia="仿宋_GB2312" w:cs="Times New Roman"/>
          <w:color w:val="000000"/>
          <w:spacing w:val="17"/>
          <w:sz w:val="32"/>
          <w:szCs w:val="32"/>
          <w:highlight w:val="none"/>
        </w:rPr>
        <w:t>）其他评价方法。</w:t>
      </w:r>
    </w:p>
    <w:p w14:paraId="6F3B2FDB">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2215333A">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14:paraId="2717C56A">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计划标准。指以预先制定的目标、计划、预算、定额等作为评价标准。</w:t>
      </w:r>
    </w:p>
    <w:p w14:paraId="00489D0D">
      <w:pPr>
        <w:pStyle w:val="2"/>
        <w:keepNext w:val="0"/>
        <w:keepLines w:val="0"/>
        <w:pageBreakBefore w:val="0"/>
        <w:numPr>
          <w:ilvl w:val="0"/>
          <w:numId w:val="2"/>
        </w:numPr>
        <w:kinsoku/>
        <w:wordWrap/>
        <w:overflowPunct/>
        <w:topLinePunct w:val="0"/>
        <w:autoSpaceDE/>
        <w:autoSpaceDN/>
        <w:bidi w:val="0"/>
        <w:adjustRightInd/>
        <w:snapToGrid/>
        <w:spacing w:before="0" w:after="0" w:line="560" w:lineRule="exact"/>
        <w:ind w:firstLine="711" w:firstLineChars="200"/>
        <w:jc w:val="both"/>
        <w:textAlignment w:val="auto"/>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14:paraId="741C88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14:paraId="6BD48E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确保从多角度、全方位对项目绩效进行评价。同时，明确了评价工作的目标、范围、重点及时间安排，制定了详细的工作计划，为评价工作的顺利开展奠定了坚实基础。</w:t>
      </w:r>
    </w:p>
    <w:p w14:paraId="208D1C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196046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0054B3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546659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在数据收集过程中，注重数据的质量与完整性，对缺失或异常的数据进行了合理的处理和补充。随后，对收集到的数据进行了系统的整理与分类，为后续的数据分析提供了有力支持。</w:t>
      </w:r>
    </w:p>
    <w:p w14:paraId="00BD57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6F3D9C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38D5A9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48E97C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w:t>
      </w:r>
    </w:p>
    <w:p w14:paraId="3E9CEFD5">
      <w:pPr>
        <w:keepNext w:val="0"/>
        <w:keepLines w:val="0"/>
        <w:pageBreakBefore w:val="0"/>
        <w:numPr>
          <w:ilvl w:val="0"/>
          <w:numId w:val="3"/>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01EE6DE8">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14:paraId="3759F4E9">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本项目的综合评价基于对项目各方面绩效的深入分析与评估。从项目目标的达成情况来看，原新疆日用玻璃厂职工档案数字化达到了预期的标准与要求。</w:t>
      </w:r>
    </w:p>
    <w:p w14:paraId="020C3256">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eastAsia="zh-CN"/>
        </w:rPr>
        <w:t>轻工业行业管理处</w:t>
      </w:r>
      <w:r>
        <w:rPr>
          <w:rFonts w:hint="default" w:ascii="Times New Roman" w:hAnsi="Times New Roman" w:eastAsia="仿宋_GB2312" w:cs="Times New Roman"/>
          <w:sz w:val="32"/>
          <w:szCs w:val="32"/>
          <w:highlight w:val="none"/>
        </w:rPr>
        <w:t>通过有效的规划、组织与协调，</w:t>
      </w:r>
      <w:r>
        <w:rPr>
          <w:rFonts w:hint="eastAsia" w:eastAsia="仿宋_GB2312" w:cs="Times New Roman"/>
          <w:sz w:val="32"/>
          <w:szCs w:val="32"/>
          <w:highlight w:val="none"/>
          <w:lang w:val="en-US" w:eastAsia="zh-CN"/>
        </w:rPr>
        <w:t>使</w:t>
      </w:r>
      <w:r>
        <w:rPr>
          <w:rFonts w:hint="default" w:ascii="Times New Roman" w:hAnsi="Times New Roman" w:eastAsia="仿宋_GB2312" w:cs="Times New Roman"/>
          <w:sz w:val="32"/>
          <w:szCs w:val="32"/>
          <w:highlight w:val="none"/>
        </w:rPr>
        <w:t>项目得以顺利实施，并在预算与时间上保持了良好的控制。从项目效益的角度来看，原新疆日用玻璃厂职工档案数字化等方面的提升，为项目的</w:t>
      </w:r>
      <w:r>
        <w:rPr>
          <w:rFonts w:hint="eastAsia" w:eastAsia="仿宋_GB2312" w:cs="Times New Roman"/>
          <w:sz w:val="32"/>
          <w:szCs w:val="32"/>
          <w:highlight w:val="none"/>
          <w:lang w:eastAsia="zh-CN"/>
        </w:rPr>
        <w:t>使用者</w:t>
      </w:r>
      <w:r>
        <w:rPr>
          <w:rFonts w:hint="default" w:ascii="Times New Roman" w:hAnsi="Times New Roman" w:eastAsia="仿宋_GB2312" w:cs="Times New Roman"/>
          <w:sz w:val="32"/>
          <w:szCs w:val="32"/>
          <w:highlight w:val="none"/>
        </w:rPr>
        <w:t>带来了实实在在的</w:t>
      </w:r>
      <w:r>
        <w:rPr>
          <w:rFonts w:hint="eastAsia" w:eastAsia="仿宋_GB2312" w:cs="Times New Roman"/>
          <w:sz w:val="32"/>
          <w:szCs w:val="32"/>
          <w:highlight w:val="none"/>
          <w:lang w:eastAsia="zh-CN"/>
        </w:rPr>
        <w:t>成效</w:t>
      </w:r>
      <w:r>
        <w:rPr>
          <w:rFonts w:hint="default" w:ascii="Times New Roman" w:hAnsi="Times New Roman" w:eastAsia="仿宋_GB2312" w:cs="Times New Roman"/>
          <w:sz w:val="32"/>
          <w:szCs w:val="32"/>
          <w:highlight w:val="none"/>
        </w:rPr>
        <w:t>。</w:t>
      </w:r>
    </w:p>
    <w:p w14:paraId="19281922">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综上所述，原新疆日用玻璃厂职工档案数字化在绩效评价中表现出色，达到了项目的预期目标。</w:t>
      </w:r>
    </w:p>
    <w:p w14:paraId="4DF75BF0">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14:paraId="3E619AF1">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58DF162D">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14:paraId="0479F767">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2E9EB6D7">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99CEAC1">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793D122">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11B2E75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E5419BE">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246801EB">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126D912">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3C9AA97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E0653B1">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69A98F37">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77661B4">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12F112B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17613A9">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1AFBB6F1">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37034573">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14:paraId="5DA6E5F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A2296B2">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22ADC5CE">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1EAB7893">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360A722A">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5C20FEE">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79B62924">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30EB4981">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14:paraId="20DC2F3E">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42A3AC21">
      <w:pPr>
        <w:pStyle w:val="2"/>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14:paraId="75C1A89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C25AC84">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0309212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14:paraId="1D15E89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该项目立项符合国家相关法律法规及发展政策，围绕本年度工作重点和工作计划制定经费预算，本项目与部门内部其他相关项目不重复。</w:t>
      </w:r>
    </w:p>
    <w:p w14:paraId="3A90631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14:paraId="0AEECA2E">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14:paraId="1E640010">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3C5F49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14:paraId="0AB9141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对项目任务进行了详细分解。项目预期产出效益及效果符合正常的业绩水平。</w:t>
      </w:r>
    </w:p>
    <w:p w14:paraId="3DA84C69">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14:paraId="222B2E5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337375BC">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05DC653E">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14:paraId="720775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479E13C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注重了成本控制与效益最大化的原则。通过优化资源配置、提高资金使用效率等措施，确保项目在有限的预算内取得最大的社会效益。</w:t>
      </w:r>
    </w:p>
    <w:p w14:paraId="589F727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107397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30FB08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3991F920">
      <w:pPr>
        <w:pStyle w:val="2"/>
        <w:pageBreakBefore w:val="0"/>
        <w:numPr>
          <w:ilvl w:val="0"/>
          <w:numId w:val="4"/>
        </w:numPr>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14:paraId="4865820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52113A77">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7F954FE9">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2CF2A9EE">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15.00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100.00</w:t>
      </w:r>
      <w:r>
        <w:rPr>
          <w:rFonts w:hint="default" w:ascii="Times New Roman" w:hAnsi="Times New Roman" w:eastAsia="仿宋_GB2312" w:cs="Times New Roman"/>
          <w:sz w:val="32"/>
          <w:szCs w:val="32"/>
          <w:highlight w:val="none"/>
          <w:lang w:val="en-US" w:eastAsia="zh-CN"/>
        </w:rPr>
        <w:t>%，预算资金按计划进度执行。</w:t>
      </w:r>
    </w:p>
    <w:p w14:paraId="47EF1AA4">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060CFF8B">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14.75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98.33</w:t>
      </w:r>
      <w:r>
        <w:rPr>
          <w:rFonts w:hint="default" w:ascii="Times New Roman" w:hAnsi="Times New Roman" w:eastAsia="仿宋_GB2312" w:cs="Times New Roman"/>
          <w:sz w:val="32"/>
          <w:szCs w:val="32"/>
          <w:highlight w:val="none"/>
          <w:lang w:val="en-US" w:eastAsia="zh-CN"/>
        </w:rPr>
        <w:t>%。</w:t>
      </w:r>
    </w:p>
    <w:p w14:paraId="7EF38B51">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41D766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w:t>
      </w:r>
      <w:r>
        <w:rPr>
          <w:rFonts w:hint="eastAsia" w:eastAsia="仿宋_GB2312" w:cs="Times New Roman"/>
          <w:sz w:val="32"/>
          <w:szCs w:val="32"/>
          <w:highlight w:val="none"/>
          <w:lang w:eastAsia="zh-CN"/>
        </w:rPr>
        <w:t>遵循</w:t>
      </w:r>
      <w:r>
        <w:rPr>
          <w:rFonts w:hint="default" w:ascii="Times New Roman" w:hAnsi="Times New Roman" w:eastAsia="仿宋_GB2312" w:cs="Times New Roman"/>
          <w:sz w:val="32"/>
          <w:szCs w:val="32"/>
          <w:highlight w:val="none"/>
          <w:lang w:eastAsia="zh-CN"/>
        </w:rPr>
        <w:t>财务管理体系，对资金的流动进行了全程监控与记录。具体而言，资金使用坚持了专款专用的原则，确保了项目资金不被挪用或截留。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1E44B4A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3A4A1B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b w:val="0"/>
          <w:bCs w:val="0"/>
          <w:sz w:val="32"/>
          <w:szCs w:val="32"/>
          <w:highlight w:val="none"/>
          <w:lang w:eastAsia="zh-CN"/>
        </w:rPr>
        <w:t>项目执行严格按照政府采购相关规定进行，执行预算资金，严格按照项目实际，及时对接中标方，为自治区工艺美术大师及食品工业企业做好项目服务。同时，加快预算执行，提升培训质量。</w:t>
      </w:r>
    </w:p>
    <w:p w14:paraId="12A9CFA3">
      <w:pPr>
        <w:pStyle w:val="12"/>
        <w:pageBreakBefore w:val="0"/>
        <w:numPr>
          <w:ilvl w:val="0"/>
          <w:numId w:val="4"/>
        </w:numPr>
        <w:kinsoku/>
        <w:wordWrap/>
        <w:overflowPunct/>
        <w:topLinePunct w:val="0"/>
        <w:autoSpaceDE/>
        <w:autoSpaceDN/>
        <w:bidi w:val="0"/>
        <w:adjustRightInd/>
        <w:snapToGrid/>
        <w:spacing w:line="560" w:lineRule="exact"/>
        <w:ind w:firstLine="643"/>
        <w:textAlignment w:val="auto"/>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0031959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0分，实际得分</w:t>
      </w:r>
      <w:r>
        <w:rPr>
          <w:rFonts w:hint="eastAsia" w:eastAsia="仿宋_GB2312" w:cs="Times New Roman"/>
          <w:sz w:val="32"/>
          <w:szCs w:val="32"/>
          <w:highlight w:val="none"/>
          <w:lang w:val="en-US" w:eastAsia="zh-CN"/>
        </w:rPr>
        <w:t>58.99</w:t>
      </w:r>
      <w:r>
        <w:rPr>
          <w:rFonts w:hint="default" w:ascii="Times New Roman" w:hAnsi="Times New Roman" w:eastAsia="仿宋_GB2312" w:cs="Times New Roman"/>
          <w:sz w:val="32"/>
          <w:szCs w:val="32"/>
          <w:highlight w:val="none"/>
          <w:lang w:val="en-US" w:eastAsia="zh-CN"/>
        </w:rPr>
        <w:t>分</w:t>
      </w:r>
      <w:bookmarkStart w:id="3" w:name="_GoBack"/>
      <w:bookmarkEnd w:id="3"/>
      <w:r>
        <w:rPr>
          <w:rFonts w:hint="default" w:ascii="Times New Roman" w:hAnsi="Times New Roman" w:eastAsia="仿宋_GB2312" w:cs="Times New Roman"/>
          <w:sz w:val="32"/>
          <w:szCs w:val="32"/>
          <w:highlight w:val="none"/>
          <w:lang w:val="en-US" w:eastAsia="zh-CN"/>
        </w:rPr>
        <w:t>，得分率为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14:paraId="0765D2E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244B46FE">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整理档案件数</w:t>
      </w:r>
      <w:r>
        <w:rPr>
          <w:rFonts w:hint="default" w:ascii="Times New Roman" w:hAnsi="Times New Roman" w:eastAsia="仿宋_GB2312" w:cs="Times New Roman"/>
          <w:sz w:val="32"/>
          <w:szCs w:val="32"/>
          <w:highlight w:val="none"/>
        </w:rPr>
        <w:t>，指标值：</w:t>
      </w:r>
      <w:r>
        <w:rPr>
          <w:rFonts w:hint="default" w:ascii="Arial" w:hAnsi="Arial" w:eastAsia="仿宋_GB2312" w:cs="Arial"/>
          <w:sz w:val="32"/>
          <w:szCs w:val="32"/>
          <w:highlight w:val="none"/>
        </w:rPr>
        <w:t>≥</w:t>
      </w:r>
      <w:r>
        <w:rPr>
          <w:rFonts w:hint="eastAsia" w:eastAsia="仿宋_GB2312" w:cs="Times New Roman"/>
          <w:sz w:val="32"/>
          <w:szCs w:val="32"/>
          <w:highlight w:val="none"/>
          <w:lang w:val="en-US" w:eastAsia="zh-CN"/>
        </w:rPr>
        <w:t>1.10万件</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1.10万件</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26543D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录入档案信息</w:t>
      </w:r>
      <w:r>
        <w:rPr>
          <w:rFonts w:hint="default" w:ascii="Times New Roman" w:hAnsi="Times New Roman" w:eastAsia="仿宋_GB2312" w:cs="Times New Roman"/>
          <w:sz w:val="32"/>
          <w:szCs w:val="32"/>
          <w:highlight w:val="none"/>
        </w:rPr>
        <w:t>，指标值：</w:t>
      </w:r>
      <w:r>
        <w:rPr>
          <w:rFonts w:hint="default" w:ascii="Arial" w:hAnsi="Arial" w:eastAsia="仿宋_GB2312" w:cs="Arial"/>
          <w:sz w:val="32"/>
          <w:szCs w:val="32"/>
          <w:highlight w:val="none"/>
        </w:rPr>
        <w:t>≥</w:t>
      </w:r>
      <w:r>
        <w:rPr>
          <w:rFonts w:hint="eastAsia" w:eastAsia="仿宋_GB2312" w:cs="Times New Roman"/>
          <w:sz w:val="32"/>
          <w:szCs w:val="32"/>
          <w:highlight w:val="none"/>
          <w:lang w:val="en-US" w:eastAsia="zh-CN"/>
        </w:rPr>
        <w:t>1.10万条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1.10万条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2DEBFF6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7208B39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：档案验收合格率，指标值：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6B0E224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0CDCECCB">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：项目按期完成率，指标值：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212370D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1C42C89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：整理及录入成本，指标值：</w:t>
      </w:r>
      <w:r>
        <w:rPr>
          <w:rFonts w:hint="default" w:ascii="Arial" w:hAnsi="Arial" w:eastAsia="仿宋_GB2312" w:cs="Arial"/>
          <w:sz w:val="32"/>
          <w:szCs w:val="32"/>
          <w:highlight w:val="none"/>
          <w:lang w:eastAsia="zh-CN"/>
        </w:rPr>
        <w:t>≤</w:t>
      </w:r>
      <w:r>
        <w:rPr>
          <w:rFonts w:hint="eastAsia" w:eastAsia="仿宋_GB2312" w:cs="Times New Roman"/>
          <w:sz w:val="32"/>
          <w:szCs w:val="32"/>
          <w:highlight w:val="none"/>
          <w:lang w:val="en-US" w:eastAsia="zh-CN"/>
        </w:rPr>
        <w:t>8.8万元，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8.8万元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2F4931CB">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：装订及其他费用，指标值：</w:t>
      </w:r>
      <w:r>
        <w:rPr>
          <w:rFonts w:hint="default" w:ascii="Arial" w:hAnsi="Arial" w:eastAsia="仿宋_GB2312" w:cs="Arial"/>
          <w:sz w:val="32"/>
          <w:szCs w:val="32"/>
          <w:highlight w:val="none"/>
          <w:lang w:eastAsia="zh-CN"/>
        </w:rPr>
        <w:t>≤</w:t>
      </w:r>
      <w:r>
        <w:rPr>
          <w:rFonts w:hint="eastAsia" w:eastAsia="仿宋_GB2312" w:cs="Times New Roman"/>
          <w:sz w:val="32"/>
          <w:szCs w:val="32"/>
          <w:highlight w:val="none"/>
          <w:lang w:val="en-US" w:eastAsia="zh-CN"/>
        </w:rPr>
        <w:t>6.2万元，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5.95万元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96</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。偏差原因：按照档案实际情况，有需要裱糊的档案，在控制总预算金额的基础上，调剂使用。</w:t>
      </w:r>
    </w:p>
    <w:p w14:paraId="0907ABE0">
      <w:pPr>
        <w:pStyle w:val="12"/>
        <w:pageBreakBefore w:val="0"/>
        <w:numPr>
          <w:ilvl w:val="0"/>
          <w:numId w:val="4"/>
        </w:numPr>
        <w:kinsoku/>
        <w:wordWrap/>
        <w:overflowPunct/>
        <w:topLinePunct w:val="0"/>
        <w:autoSpaceDE/>
        <w:autoSpaceDN/>
        <w:bidi w:val="0"/>
        <w:adjustRightInd/>
        <w:snapToGrid/>
        <w:spacing w:line="560" w:lineRule="exact"/>
        <w:ind w:firstLine="643"/>
        <w:textAlignment w:val="auto"/>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14:paraId="592F1E99">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3870BAA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6A398E35">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68C790E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助推原破产企业职工档案查询数字化、便捷化</w:t>
      </w:r>
      <w:r>
        <w:rPr>
          <w:rFonts w:hint="eastAsia" w:eastAsia="仿宋_GB2312" w:cs="Times New Roman"/>
          <w:sz w:val="32"/>
          <w:szCs w:val="32"/>
          <w:highlight w:val="none"/>
          <w:lang w:eastAsia="zh-CN"/>
        </w:rPr>
        <w:t>，指标值：</w:t>
      </w:r>
      <w:r>
        <w:rPr>
          <w:rFonts w:hint="eastAsia" w:ascii="Arial" w:hAnsi="Arial" w:eastAsia="仿宋_GB2312" w:cs="Arial"/>
          <w:sz w:val="32"/>
          <w:szCs w:val="32"/>
          <w:highlight w:val="none"/>
          <w:lang w:eastAsia="zh-CN"/>
        </w:rPr>
        <w:t>有效助推，</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有效助推</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6F46669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1E99B59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使用人员满意度</w:t>
      </w:r>
      <w:r>
        <w:rPr>
          <w:rFonts w:hint="eastAsia" w:eastAsia="仿宋_GB2312" w:cs="Times New Roman"/>
          <w:sz w:val="32"/>
          <w:szCs w:val="32"/>
          <w:highlight w:val="none"/>
          <w:lang w:eastAsia="zh-CN"/>
        </w:rPr>
        <w:t>，指标值：</w:t>
      </w:r>
      <w:r>
        <w:rPr>
          <w:rFonts w:hint="default" w:ascii="Arial" w:hAnsi="Arial" w:eastAsia="仿宋_GB2312" w:cs="Arial"/>
          <w:sz w:val="32"/>
          <w:szCs w:val="32"/>
          <w:highlight w:val="none"/>
          <w:lang w:eastAsia="zh-CN"/>
        </w:rPr>
        <w:t>≥</w:t>
      </w:r>
      <w:r>
        <w:rPr>
          <w:rFonts w:hint="eastAsia" w:ascii="Arial" w:hAnsi="Arial" w:eastAsia="仿宋_GB2312" w:cs="Arial"/>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4CC56EC3">
      <w:pPr>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highlight w:val="none"/>
          <w:lang w:val="en-US" w:eastAsia="zh-Hans"/>
        </w:rPr>
      </w:pPr>
      <w:r>
        <w:rPr>
          <w:rFonts w:hint="eastAsia" w:ascii="黑体" w:hAnsi="黑体" w:eastAsia="黑体" w:cs="黑体"/>
          <w:b w:val="0"/>
          <w:bCs w:val="0"/>
          <w:sz w:val="32"/>
          <w:szCs w:val="32"/>
          <w:highlight w:val="none"/>
          <w:lang w:val="en-US" w:eastAsia="zh-CN"/>
        </w:rPr>
        <w:t>五、</w:t>
      </w:r>
      <w:r>
        <w:rPr>
          <w:rFonts w:hint="eastAsia" w:ascii="黑体" w:hAnsi="黑体" w:eastAsia="黑体" w:cs="黑体"/>
          <w:b w:val="0"/>
          <w:bCs w:val="0"/>
          <w:sz w:val="32"/>
          <w:szCs w:val="32"/>
          <w:highlight w:val="none"/>
          <w:lang w:val="en-US" w:eastAsia="zh-Hans"/>
        </w:rPr>
        <w:t>预算执行进度与绩效指标总体完成率偏差</w:t>
      </w:r>
    </w:p>
    <w:p w14:paraId="1A005536">
      <w:pPr>
        <w:pStyle w:val="19"/>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 w:val="0"/>
          <w:bCs w:val="0"/>
          <w:sz w:val="32"/>
          <w:szCs w:val="32"/>
          <w:highlight w:val="none"/>
        </w:rPr>
      </w:pPr>
      <w:r>
        <w:rPr>
          <w:rFonts w:hint="default" w:ascii="Times New Roman" w:hAnsi="Times New Roman" w:eastAsia="仿宋_GB2312" w:cs="Times New Roman"/>
          <w:sz w:val="32"/>
          <w:szCs w:val="32"/>
          <w:highlight w:val="none"/>
        </w:rPr>
        <w:t>原新疆日用玻璃厂职工档案数字化</w:t>
      </w:r>
      <w:r>
        <w:rPr>
          <w:rFonts w:hint="eastAsia" w:ascii="仿宋_GB2312" w:hAnsi="仿宋_GB2312" w:eastAsia="仿宋_GB2312" w:cs="仿宋_GB2312"/>
          <w:b w:val="0"/>
          <w:bCs w:val="0"/>
          <w:sz w:val="32"/>
          <w:szCs w:val="32"/>
          <w:highlight w:val="none"/>
        </w:rPr>
        <w:t>项目年初预算</w:t>
      </w:r>
      <w:r>
        <w:rPr>
          <w:rFonts w:hint="eastAsia" w:ascii="仿宋_GB2312" w:hAnsi="仿宋_GB2312" w:eastAsia="仿宋_GB2312" w:cs="仿宋_GB2312"/>
          <w:b w:val="0"/>
          <w:bCs w:val="0"/>
          <w:sz w:val="32"/>
          <w:szCs w:val="32"/>
          <w:highlight w:val="none"/>
          <w:lang w:val="en-US" w:eastAsia="zh-CN"/>
        </w:rPr>
        <w:t>15</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15</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14.75</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98</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99.5</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总体</w:t>
      </w:r>
      <w:r>
        <w:rPr>
          <w:rFonts w:hint="eastAsia" w:ascii="仿宋_GB2312" w:hAnsi="仿宋_GB2312" w:eastAsia="仿宋_GB2312" w:cs="仿宋_GB2312"/>
          <w:b w:val="0"/>
          <w:bCs w:val="0"/>
          <w:sz w:val="32"/>
          <w:szCs w:val="32"/>
          <w:highlight w:val="none"/>
        </w:rPr>
        <w:t>偏差率为</w:t>
      </w:r>
      <w:r>
        <w:rPr>
          <w:rFonts w:hint="eastAsia" w:ascii="仿宋_GB2312" w:hAnsi="仿宋_GB2312" w:eastAsia="仿宋_GB2312" w:cs="仿宋_GB2312"/>
          <w:b w:val="0"/>
          <w:bCs w:val="0"/>
          <w:sz w:val="32"/>
          <w:szCs w:val="32"/>
          <w:highlight w:val="none"/>
          <w:lang w:val="en-US" w:eastAsia="zh-CN"/>
        </w:rPr>
        <w:t>1.5</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eastAsia="zh-Hans"/>
        </w:rPr>
        <w:t>偏差</w:t>
      </w:r>
      <w:r>
        <w:rPr>
          <w:rFonts w:hint="eastAsia" w:ascii="仿宋_GB2312" w:hAnsi="仿宋_GB2312" w:eastAsia="仿宋_GB2312" w:cs="仿宋_GB2312"/>
          <w:b w:val="0"/>
          <w:bCs w:val="0"/>
          <w:sz w:val="32"/>
          <w:szCs w:val="32"/>
          <w:highlight w:val="none"/>
        </w:rPr>
        <w:t>原因</w:t>
      </w:r>
      <w:r>
        <w:rPr>
          <w:rFonts w:hint="eastAsia" w:ascii="仿宋_GB2312" w:hAnsi="仿宋_GB2312" w:eastAsia="仿宋_GB2312" w:cs="仿宋_GB2312"/>
          <w:b w:val="0"/>
          <w:bCs w:val="0"/>
          <w:sz w:val="32"/>
          <w:szCs w:val="32"/>
          <w:highlight w:val="none"/>
          <w:lang w:eastAsia="zh-CN"/>
        </w:rPr>
        <w:t>：</w:t>
      </w:r>
      <w:r>
        <w:rPr>
          <w:rFonts w:hint="eastAsia" w:eastAsia="仿宋_GB2312" w:cs="Times New Roman"/>
          <w:sz w:val="32"/>
          <w:szCs w:val="32"/>
          <w:highlight w:val="none"/>
          <w:lang w:eastAsia="zh-CN"/>
        </w:rPr>
        <w:t>按照档案实际情况，有需要裱糊的档案，在控制总预算金额的基础上，调剂使用</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改进</w:t>
      </w:r>
      <w:r>
        <w:rPr>
          <w:rFonts w:hint="eastAsia" w:ascii="仿宋_GB2312" w:hAnsi="仿宋_GB2312" w:eastAsia="仿宋_GB2312" w:cs="仿宋_GB2312"/>
          <w:b w:val="0"/>
          <w:bCs w:val="0"/>
          <w:sz w:val="32"/>
          <w:szCs w:val="32"/>
          <w:highlight w:val="none"/>
        </w:rPr>
        <w:t>措施</w:t>
      </w:r>
      <w:r>
        <w:rPr>
          <w:rFonts w:hint="eastAsia" w:ascii="仿宋_GB2312" w:hAnsi="仿宋_GB2312" w:eastAsia="仿宋_GB2312" w:cs="仿宋_GB2312"/>
          <w:b w:val="0"/>
          <w:bCs w:val="0"/>
          <w:sz w:val="32"/>
          <w:szCs w:val="32"/>
          <w:highlight w:val="none"/>
          <w:lang w:eastAsia="zh-CN"/>
        </w:rPr>
        <w:t>：按照档案实际情况，科学合理调配资金使用比例</w:t>
      </w:r>
      <w:r>
        <w:rPr>
          <w:rFonts w:hint="eastAsia" w:ascii="仿宋_GB2312" w:hAnsi="仿宋_GB2312" w:eastAsia="仿宋_GB2312" w:cs="仿宋_GB2312"/>
          <w:b w:val="0"/>
          <w:bCs w:val="0"/>
          <w:sz w:val="32"/>
          <w:szCs w:val="32"/>
          <w:highlight w:val="none"/>
        </w:rPr>
        <w:t>。</w:t>
      </w:r>
    </w:p>
    <w:p w14:paraId="4531FFC7">
      <w:pPr>
        <w:pageBreakBefore w:val="0"/>
        <w:kinsoku/>
        <w:wordWrap/>
        <w:overflowPunct/>
        <w:topLinePunct w:val="0"/>
        <w:autoSpaceDE/>
        <w:autoSpaceDN/>
        <w:bidi w:val="0"/>
        <w:adjustRightInd/>
        <w:snapToGrid/>
        <w:spacing w:line="560" w:lineRule="exact"/>
        <w:ind w:firstLine="640" w:firstLineChars="200"/>
        <w:textAlignment w:val="auto"/>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六</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14:paraId="1B0028AD">
      <w:pPr>
        <w:pageBreakBefore w:val="0"/>
        <w:kinsoku/>
        <w:wordWrap/>
        <w:overflowPunct/>
        <w:topLinePunct w:val="0"/>
        <w:autoSpaceDE/>
        <w:autoSpaceDN/>
        <w:bidi w:val="0"/>
        <w:adjustRightInd/>
        <w:snapToGrid/>
        <w:spacing w:line="560" w:lineRule="exact"/>
        <w:ind w:firstLine="627" w:firstLineChars="200"/>
        <w:textAlignment w:val="auto"/>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14:paraId="28CC6D09">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为确保项目顺利进行，提前做好项目规划，将所列计划再三审核。在项目实施过程中</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严格按照项目管理规范进行，在项目资金使用过程中，严格落实把关，按照项目资金使用范围做好审核工作，让项目资金落于实处。</w:t>
      </w:r>
    </w:p>
    <w:p w14:paraId="5A0E5FE1">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严格坚持先做事、后验收、再拨付的原则，</w:t>
      </w:r>
      <w:r>
        <w:rPr>
          <w:rFonts w:hint="eastAsia" w:ascii="Times New Roman" w:hAnsi="Times New Roman" w:eastAsia="仿宋_GB2312" w:cs="Times New Roman"/>
          <w:sz w:val="32"/>
          <w:szCs w:val="32"/>
          <w:highlight w:val="none"/>
          <w:lang w:eastAsia="zh-CN"/>
        </w:rPr>
        <w:t>杜绝</w:t>
      </w:r>
      <w:r>
        <w:rPr>
          <w:rFonts w:hint="default" w:ascii="Times New Roman" w:hAnsi="Times New Roman" w:eastAsia="仿宋_GB2312" w:cs="Times New Roman"/>
          <w:sz w:val="32"/>
          <w:szCs w:val="32"/>
          <w:highlight w:val="none"/>
        </w:rPr>
        <w:t>了资金被挤占和挪用现象的发生，跟踪检查到位。财政、</w:t>
      </w:r>
      <w:r>
        <w:rPr>
          <w:rFonts w:hint="eastAsia" w:ascii="Times New Roman" w:hAnsi="Times New Roman" w:eastAsia="仿宋_GB2312" w:cs="Times New Roman"/>
          <w:sz w:val="32"/>
          <w:szCs w:val="32"/>
          <w:highlight w:val="none"/>
          <w:lang w:eastAsia="zh-CN"/>
        </w:rPr>
        <w:t>机关纪委</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驻厅纪检组</w:t>
      </w:r>
      <w:r>
        <w:rPr>
          <w:rFonts w:hint="default" w:ascii="Times New Roman" w:hAnsi="Times New Roman" w:eastAsia="仿宋_GB2312" w:cs="Times New Roman"/>
          <w:sz w:val="32"/>
          <w:szCs w:val="32"/>
          <w:highlight w:val="none"/>
        </w:rPr>
        <w:t>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425048E4">
      <w:pPr>
        <w:keepNext/>
        <w:keepLines/>
        <w:pageBreakBefore w:val="0"/>
        <w:numPr>
          <w:ilvl w:val="0"/>
          <w:numId w:val="5"/>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14:paraId="15F5BB4B">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0F519F09">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p>
    <w:p w14:paraId="2518A05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w:t>
      </w:r>
      <w:r>
        <w:rPr>
          <w:rFonts w:hint="eastAsia" w:eastAsia="仿宋_GB2312" w:cs="Times New Roman"/>
          <w:sz w:val="32"/>
          <w:szCs w:val="32"/>
          <w:highlight w:val="none"/>
          <w:lang w:val="en-US" w:eastAsia="zh-CN"/>
        </w:rPr>
        <w:t>参加</w:t>
      </w:r>
      <w:r>
        <w:rPr>
          <w:rFonts w:hint="default" w:ascii="Times New Roman" w:hAnsi="Times New Roman" w:eastAsia="仿宋_GB2312" w:cs="Times New Roman"/>
          <w:sz w:val="32"/>
          <w:szCs w:val="32"/>
          <w:highlight w:val="none"/>
          <w:lang w:val="en-US" w:eastAsia="zh-CN"/>
        </w:rPr>
        <w:t>有关绩效管理工作方面的培训。积极</w:t>
      </w:r>
      <w:r>
        <w:rPr>
          <w:rFonts w:hint="eastAsia" w:eastAsia="仿宋_GB2312" w:cs="Times New Roman"/>
          <w:sz w:val="32"/>
          <w:szCs w:val="32"/>
          <w:highlight w:val="none"/>
          <w:lang w:val="en-US" w:eastAsia="zh-CN"/>
        </w:rPr>
        <w:t>参加</w:t>
      </w:r>
      <w:r>
        <w:rPr>
          <w:rFonts w:hint="default" w:ascii="Times New Roman" w:hAnsi="Times New Roman" w:eastAsia="仿宋_GB2312" w:cs="Times New Roman"/>
          <w:sz w:val="32"/>
          <w:szCs w:val="32"/>
          <w:highlight w:val="none"/>
          <w:lang w:val="en-US" w:eastAsia="zh-CN"/>
        </w:rPr>
        <w:t>绩效管理工作培训，进一步夯实业务基础，提高绩效人员水平。</w:t>
      </w:r>
    </w:p>
    <w:p w14:paraId="2D7DFB4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2.对绩效工作人员定职、定岗、定责，进一步提升绩效管理工作业务水平，扎实做好绩效管理工作。</w:t>
      </w:r>
    </w:p>
    <w:p w14:paraId="05B38C04">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3.进一步规范项目建设的程序。严格执行资金管理办法和财政资金管理制度，严格按照项目实施方案、招投标管理办法等稳步推进工作，各部门单位根据自己项目的特点进行总结。</w:t>
      </w:r>
    </w:p>
    <w:p w14:paraId="4A5A515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八</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14:paraId="10CD2AE7">
      <w:pPr>
        <w:pStyle w:val="13"/>
        <w:pageBreakBefore w:val="0"/>
        <w:kinsoku/>
        <w:wordWrap/>
        <w:overflowPunct/>
        <w:topLinePunct w:val="0"/>
        <w:autoSpaceDE/>
        <w:autoSpaceDN/>
        <w:bidi w:val="0"/>
        <w:adjustRightInd/>
        <w:snapToGrid/>
        <w:spacing w:after="0" w:line="560" w:lineRule="exact"/>
        <w:ind w:left="0" w:leftChars="0" w:firstLine="640"/>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highlight w:val="none"/>
          <w:lang w:eastAsia="zh-Hans"/>
        </w:rPr>
        <w:t>本项目无其他需说明的问题。</w:t>
      </w:r>
    </w:p>
    <w:p w14:paraId="77B360E9">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047E0370">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5E4FF8A0">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23CE1D33">
      <w:pPr>
        <w:pStyle w:val="13"/>
        <w:spacing w:after="0" w:line="560" w:lineRule="exact"/>
        <w:ind w:left="0" w:leftChars="0" w:firstLine="643" w:firstLineChars="200"/>
        <w:rPr>
          <w:rFonts w:hint="eastAsia" w:ascii="Times New Roman" w:hAnsi="Times New Roman" w:eastAsia="仿宋_GB2312" w:cs="Times New Roman"/>
          <w:b/>
          <w:bCs/>
          <w:color w:val="FF0000"/>
          <w:sz w:val="32"/>
          <w:szCs w:val="32"/>
          <w:lang w:eastAsia="zh-CN"/>
        </w:rPr>
      </w:pPr>
    </w:p>
    <w:p w14:paraId="2F4B2771">
      <w:pPr>
        <w:pStyle w:val="13"/>
        <w:spacing w:after="0" w:line="560" w:lineRule="exact"/>
        <w:ind w:left="0" w:leftChars="0" w:firstLine="0" w:firstLineChars="0"/>
        <w:rPr>
          <w:rFonts w:hint="default" w:ascii="Times New Roman" w:hAnsi="Times New Roman" w:eastAsia="仿宋_GB2312" w:cs="Times New Roman"/>
          <w:sz w:val="32"/>
          <w:szCs w:val="32"/>
        </w:rPr>
      </w:pPr>
    </w:p>
    <w:p w14:paraId="096B1EB0">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30203F24">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37D80B20">
      <w:pPr>
        <w:pStyle w:val="19"/>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highlight w:val="none"/>
          <w:lang w:val="en-US" w:eastAsia="zh-CN"/>
        </w:rPr>
        <w:t>原新疆日用玻璃厂职工档案数字化</w:t>
      </w:r>
      <w:r>
        <w:rPr>
          <w:rFonts w:hint="eastAsia" w:ascii="仿宋_GB2312" w:hAnsi="仿宋_GB2312" w:eastAsia="仿宋_GB2312" w:cs="仿宋_GB2312"/>
          <w:b/>
          <w:bCs/>
          <w:sz w:val="28"/>
          <w:szCs w:val="40"/>
          <w:highlight w:val="none"/>
        </w:rPr>
        <w:t>项目</w:t>
      </w:r>
      <w:r>
        <w:rPr>
          <w:rFonts w:hint="eastAsia" w:ascii="仿宋_GB2312" w:hAnsi="仿宋_GB2312" w:eastAsia="仿宋_GB2312" w:cs="仿宋_GB2312"/>
          <w:b/>
          <w:bCs/>
          <w:sz w:val="28"/>
          <w:szCs w:val="40"/>
        </w:rPr>
        <w:t>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4"/>
        <w:gridCol w:w="1000"/>
        <w:gridCol w:w="1071"/>
        <w:gridCol w:w="1726"/>
        <w:gridCol w:w="5216"/>
        <w:gridCol w:w="1300"/>
        <w:gridCol w:w="1366"/>
      </w:tblGrid>
      <w:tr w14:paraId="6C9CF1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4" w:type="dxa"/>
            <w:shd w:val="clear" w:color="auto" w:fill="FFFFFF"/>
            <w:vAlign w:val="center"/>
          </w:tcPr>
          <w:p w14:paraId="10AE0E2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14:paraId="23D8123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14:paraId="4FD58BB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6" w:type="dxa"/>
            <w:shd w:val="clear" w:color="auto" w:fill="FFFFFF"/>
            <w:vAlign w:val="center"/>
          </w:tcPr>
          <w:p w14:paraId="7D3F438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14:paraId="2A8F9CB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0" w:type="dxa"/>
            <w:shd w:val="clear" w:color="auto" w:fill="FFFFFF"/>
            <w:vAlign w:val="center"/>
          </w:tcPr>
          <w:p w14:paraId="773977B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6" w:type="dxa"/>
            <w:shd w:val="clear" w:color="auto" w:fill="FFFFFF"/>
            <w:vAlign w:val="center"/>
          </w:tcPr>
          <w:p w14:paraId="00A07A1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63E775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4" w:type="dxa"/>
            <w:vMerge w:val="restart"/>
            <w:shd w:val="clear" w:color="auto" w:fill="FFFFFF"/>
            <w:vAlign w:val="center"/>
          </w:tcPr>
          <w:p w14:paraId="38FDBBEA">
            <w:pPr>
              <w:widowControl/>
              <w:spacing w:line="0" w:lineRule="atLeast"/>
              <w:jc w:val="center"/>
              <w:rPr>
                <w:rFonts w:hint="default" w:ascii="Times New Roman" w:hAnsi="Times New Roman" w:eastAsia="仿宋_GB2312" w:cs="Times New Roman"/>
                <w:color w:val="000000"/>
                <w:kern w:val="0"/>
                <w:sz w:val="18"/>
                <w:szCs w:val="18"/>
                <w:highlight w:val="none"/>
              </w:rPr>
            </w:pPr>
          </w:p>
          <w:p w14:paraId="767ED5B5">
            <w:pPr>
              <w:widowControl/>
              <w:spacing w:line="0" w:lineRule="atLeast"/>
              <w:jc w:val="center"/>
              <w:rPr>
                <w:rFonts w:hint="default" w:ascii="Times New Roman" w:hAnsi="Times New Roman" w:eastAsia="仿宋_GB2312" w:cs="Times New Roman"/>
                <w:color w:val="000000"/>
                <w:kern w:val="0"/>
                <w:sz w:val="18"/>
                <w:szCs w:val="18"/>
                <w:highlight w:val="none"/>
              </w:rPr>
            </w:pPr>
          </w:p>
          <w:p w14:paraId="4BFEBDAB">
            <w:pPr>
              <w:widowControl/>
              <w:spacing w:line="0" w:lineRule="atLeast"/>
              <w:jc w:val="center"/>
              <w:rPr>
                <w:rFonts w:hint="default" w:ascii="Times New Roman" w:hAnsi="Times New Roman" w:eastAsia="仿宋_GB2312" w:cs="Times New Roman"/>
                <w:color w:val="000000"/>
                <w:kern w:val="0"/>
                <w:sz w:val="18"/>
                <w:szCs w:val="18"/>
                <w:highlight w:val="none"/>
              </w:rPr>
            </w:pPr>
          </w:p>
          <w:p w14:paraId="1E7C119E">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494654E">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8B13534">
            <w:pPr>
              <w:widowControl/>
              <w:spacing w:line="0" w:lineRule="atLeast"/>
              <w:jc w:val="center"/>
              <w:rPr>
                <w:rFonts w:hint="default" w:ascii="Times New Roman" w:hAnsi="Times New Roman" w:eastAsia="仿宋_GB2312" w:cs="Times New Roman"/>
                <w:color w:val="000000"/>
                <w:kern w:val="0"/>
                <w:sz w:val="18"/>
                <w:szCs w:val="18"/>
                <w:highlight w:val="none"/>
              </w:rPr>
            </w:pPr>
          </w:p>
          <w:p w14:paraId="49D2433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14:paraId="0587957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14:paraId="1EF3331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76DB89B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6" w:type="dxa"/>
            <w:shd w:val="clear" w:color="auto" w:fill="FFFFFF"/>
            <w:vAlign w:val="center"/>
          </w:tcPr>
          <w:p w14:paraId="5E02F1F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14:paraId="55F0B953">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0" w:type="dxa"/>
            <w:shd w:val="clear" w:color="auto" w:fill="FFFFFF"/>
            <w:vAlign w:val="center"/>
          </w:tcPr>
          <w:p w14:paraId="551DAFB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14:paraId="0D6968D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6D065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14:paraId="66B5C1CC">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1D14D34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7488D47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6EBF3C4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6" w:type="dxa"/>
            <w:shd w:val="clear" w:color="auto" w:fill="FFFFFF"/>
            <w:vAlign w:val="center"/>
          </w:tcPr>
          <w:p w14:paraId="1E5474C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14:paraId="59B0914D">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0" w:type="dxa"/>
            <w:shd w:val="clear" w:color="auto" w:fill="FFFFFF"/>
            <w:vAlign w:val="center"/>
          </w:tcPr>
          <w:p w14:paraId="2B33509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14:paraId="0EE4F20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B576B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14:paraId="277CE98D">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5C6E300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14:paraId="7397EC7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72E2F3D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6" w:type="dxa"/>
            <w:shd w:val="clear" w:color="000000" w:fill="FFFFFF"/>
            <w:vAlign w:val="center"/>
          </w:tcPr>
          <w:p w14:paraId="0E37114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14:paraId="1EBAD382">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1B85DF7E">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0" w:type="dxa"/>
            <w:shd w:val="clear" w:color="000000" w:fill="FFFFFF"/>
            <w:vAlign w:val="center"/>
          </w:tcPr>
          <w:p w14:paraId="29E38D6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14:paraId="366423D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D39DC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4" w:type="dxa"/>
            <w:vMerge w:val="continue"/>
            <w:shd w:val="clear" w:color="auto" w:fill="FFFFFF"/>
            <w:vAlign w:val="center"/>
          </w:tcPr>
          <w:p w14:paraId="68BA1BC2">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459F43D3">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67CD35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128BB5B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6" w:type="dxa"/>
            <w:shd w:val="clear" w:color="000000" w:fill="FFFFFF"/>
            <w:vAlign w:val="center"/>
          </w:tcPr>
          <w:p w14:paraId="0560EA5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14:paraId="64B7A4C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0" w:type="dxa"/>
            <w:shd w:val="clear" w:color="000000" w:fill="FFFFFF"/>
            <w:vAlign w:val="center"/>
          </w:tcPr>
          <w:p w14:paraId="4735D0C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14:paraId="2E6C1C4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29C8E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4" w:type="dxa"/>
            <w:vMerge w:val="continue"/>
            <w:shd w:val="clear" w:color="auto" w:fill="FFFFFF"/>
            <w:vAlign w:val="center"/>
          </w:tcPr>
          <w:p w14:paraId="7F64A799">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7EE8DF2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6C96A668">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53168A2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043DA49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6" w:type="dxa"/>
            <w:shd w:val="clear" w:color="auto" w:fill="FFFFFF"/>
            <w:vAlign w:val="center"/>
          </w:tcPr>
          <w:p w14:paraId="3D514BA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21148B7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0" w:type="dxa"/>
            <w:shd w:val="clear" w:color="auto" w:fill="FFFFFF"/>
            <w:vAlign w:val="center"/>
          </w:tcPr>
          <w:p w14:paraId="3DB32C1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68E25E4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63D72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4" w:type="dxa"/>
            <w:vMerge w:val="continue"/>
            <w:shd w:val="clear" w:color="auto" w:fill="FFFFFF"/>
            <w:vAlign w:val="center"/>
          </w:tcPr>
          <w:p w14:paraId="1C3E2A3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7628AD99">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8891BF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7A09FC8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6" w:type="dxa"/>
            <w:shd w:val="clear" w:color="auto" w:fill="FFFFFF"/>
            <w:vAlign w:val="center"/>
          </w:tcPr>
          <w:p w14:paraId="39DA858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492ED9D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0" w:type="dxa"/>
            <w:shd w:val="clear" w:color="auto" w:fill="FFFFFF"/>
            <w:vAlign w:val="center"/>
          </w:tcPr>
          <w:p w14:paraId="2AF1C43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1AF233A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4A5D9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4" w:type="dxa"/>
            <w:vMerge w:val="restart"/>
            <w:shd w:val="clear" w:color="auto" w:fill="FFFFFF"/>
            <w:vAlign w:val="center"/>
          </w:tcPr>
          <w:p w14:paraId="2B5799B2">
            <w:pPr>
              <w:spacing w:line="0" w:lineRule="atLeast"/>
              <w:jc w:val="center"/>
              <w:rPr>
                <w:rFonts w:hint="default" w:ascii="Times New Roman" w:hAnsi="Times New Roman" w:eastAsia="仿宋_GB2312" w:cs="Times New Roman"/>
                <w:color w:val="000000"/>
                <w:kern w:val="0"/>
                <w:sz w:val="18"/>
                <w:szCs w:val="18"/>
                <w:highlight w:val="none"/>
              </w:rPr>
            </w:pPr>
          </w:p>
          <w:p w14:paraId="102C02CE">
            <w:pPr>
              <w:spacing w:line="0" w:lineRule="atLeast"/>
              <w:jc w:val="center"/>
              <w:rPr>
                <w:rFonts w:hint="default" w:ascii="Times New Roman" w:hAnsi="Times New Roman" w:eastAsia="仿宋_GB2312" w:cs="Times New Roman"/>
                <w:color w:val="000000"/>
                <w:kern w:val="0"/>
                <w:sz w:val="18"/>
                <w:szCs w:val="18"/>
                <w:highlight w:val="none"/>
              </w:rPr>
            </w:pPr>
          </w:p>
          <w:p w14:paraId="5559EB99">
            <w:pPr>
              <w:spacing w:line="0" w:lineRule="atLeast"/>
              <w:jc w:val="center"/>
              <w:rPr>
                <w:rFonts w:hint="default" w:ascii="Times New Roman" w:hAnsi="Times New Roman" w:eastAsia="仿宋_GB2312" w:cs="Times New Roman"/>
                <w:color w:val="000000"/>
                <w:kern w:val="0"/>
                <w:sz w:val="18"/>
                <w:szCs w:val="18"/>
                <w:highlight w:val="none"/>
              </w:rPr>
            </w:pPr>
          </w:p>
          <w:p w14:paraId="528ECC32">
            <w:pPr>
              <w:spacing w:line="0" w:lineRule="atLeast"/>
              <w:jc w:val="center"/>
              <w:rPr>
                <w:rFonts w:hint="default" w:ascii="Times New Roman" w:hAnsi="Times New Roman" w:eastAsia="仿宋_GB2312" w:cs="Times New Roman"/>
                <w:color w:val="000000"/>
                <w:kern w:val="0"/>
                <w:sz w:val="18"/>
                <w:szCs w:val="18"/>
                <w:highlight w:val="none"/>
              </w:rPr>
            </w:pPr>
          </w:p>
          <w:p w14:paraId="4EEF3ADB">
            <w:pPr>
              <w:spacing w:line="0" w:lineRule="atLeast"/>
              <w:jc w:val="center"/>
              <w:rPr>
                <w:rFonts w:hint="default" w:ascii="Times New Roman" w:hAnsi="Times New Roman" w:eastAsia="仿宋_GB2312" w:cs="Times New Roman"/>
                <w:color w:val="000000"/>
                <w:kern w:val="0"/>
                <w:sz w:val="18"/>
                <w:szCs w:val="18"/>
                <w:highlight w:val="none"/>
              </w:rPr>
            </w:pPr>
          </w:p>
          <w:p w14:paraId="6C757399">
            <w:pPr>
              <w:spacing w:line="0" w:lineRule="atLeast"/>
              <w:jc w:val="center"/>
              <w:rPr>
                <w:rFonts w:hint="default" w:ascii="Times New Roman" w:hAnsi="Times New Roman" w:eastAsia="仿宋_GB2312" w:cs="Times New Roman"/>
                <w:color w:val="000000"/>
                <w:kern w:val="0"/>
                <w:sz w:val="18"/>
                <w:szCs w:val="18"/>
                <w:highlight w:val="none"/>
              </w:rPr>
            </w:pPr>
          </w:p>
          <w:p w14:paraId="69905DD6">
            <w:pPr>
              <w:spacing w:line="0" w:lineRule="atLeast"/>
              <w:jc w:val="center"/>
              <w:rPr>
                <w:rFonts w:hint="default" w:ascii="Times New Roman" w:hAnsi="Times New Roman" w:eastAsia="仿宋_GB2312" w:cs="Times New Roman"/>
                <w:color w:val="000000"/>
                <w:kern w:val="0"/>
                <w:sz w:val="18"/>
                <w:szCs w:val="18"/>
                <w:highlight w:val="none"/>
              </w:rPr>
            </w:pPr>
          </w:p>
          <w:p w14:paraId="63B788A5">
            <w:pPr>
              <w:spacing w:line="0" w:lineRule="atLeast"/>
              <w:jc w:val="center"/>
              <w:rPr>
                <w:rFonts w:hint="default" w:ascii="Times New Roman" w:hAnsi="Times New Roman" w:eastAsia="仿宋_GB2312" w:cs="Times New Roman"/>
                <w:color w:val="000000"/>
                <w:kern w:val="0"/>
                <w:sz w:val="18"/>
                <w:szCs w:val="18"/>
                <w:highlight w:val="none"/>
              </w:rPr>
            </w:pPr>
          </w:p>
          <w:p w14:paraId="24A582E0">
            <w:pPr>
              <w:spacing w:line="0" w:lineRule="atLeast"/>
              <w:jc w:val="center"/>
              <w:rPr>
                <w:rFonts w:hint="default" w:ascii="Times New Roman" w:hAnsi="Times New Roman" w:eastAsia="仿宋_GB2312" w:cs="Times New Roman"/>
                <w:color w:val="000000"/>
                <w:kern w:val="0"/>
                <w:sz w:val="18"/>
                <w:szCs w:val="18"/>
                <w:highlight w:val="none"/>
              </w:rPr>
            </w:pPr>
          </w:p>
          <w:p w14:paraId="6F9025A8">
            <w:pPr>
              <w:spacing w:line="0" w:lineRule="atLeast"/>
              <w:jc w:val="center"/>
              <w:rPr>
                <w:rFonts w:hint="default" w:ascii="Times New Roman" w:hAnsi="Times New Roman" w:eastAsia="仿宋_GB2312" w:cs="Times New Roman"/>
                <w:color w:val="000000"/>
                <w:kern w:val="0"/>
                <w:sz w:val="18"/>
                <w:szCs w:val="18"/>
                <w:highlight w:val="none"/>
              </w:rPr>
            </w:pPr>
          </w:p>
          <w:p w14:paraId="7783F1CA">
            <w:pPr>
              <w:spacing w:line="0" w:lineRule="atLeast"/>
              <w:jc w:val="center"/>
              <w:rPr>
                <w:rFonts w:hint="default" w:ascii="Times New Roman" w:hAnsi="Times New Roman" w:eastAsia="仿宋_GB2312" w:cs="Times New Roman"/>
                <w:color w:val="000000"/>
                <w:kern w:val="0"/>
                <w:sz w:val="18"/>
                <w:szCs w:val="18"/>
                <w:highlight w:val="none"/>
              </w:rPr>
            </w:pPr>
          </w:p>
          <w:p w14:paraId="19E134E8">
            <w:pPr>
              <w:spacing w:line="0" w:lineRule="atLeast"/>
              <w:jc w:val="center"/>
              <w:rPr>
                <w:rFonts w:hint="default" w:ascii="Times New Roman" w:hAnsi="Times New Roman" w:eastAsia="仿宋_GB2312" w:cs="Times New Roman"/>
                <w:color w:val="000000"/>
                <w:kern w:val="0"/>
                <w:sz w:val="18"/>
                <w:szCs w:val="18"/>
                <w:highlight w:val="none"/>
              </w:rPr>
            </w:pPr>
          </w:p>
          <w:p w14:paraId="4BBB5B7C">
            <w:pPr>
              <w:spacing w:line="0" w:lineRule="atLeast"/>
              <w:jc w:val="center"/>
              <w:rPr>
                <w:rFonts w:hint="default" w:ascii="Times New Roman" w:hAnsi="Times New Roman" w:eastAsia="仿宋_GB2312" w:cs="Times New Roman"/>
                <w:color w:val="000000"/>
                <w:kern w:val="0"/>
                <w:sz w:val="18"/>
                <w:szCs w:val="18"/>
                <w:highlight w:val="none"/>
              </w:rPr>
            </w:pPr>
          </w:p>
          <w:p w14:paraId="3463BB56">
            <w:pPr>
              <w:spacing w:line="0" w:lineRule="atLeast"/>
              <w:jc w:val="center"/>
              <w:rPr>
                <w:rFonts w:hint="default" w:ascii="Times New Roman" w:hAnsi="Times New Roman" w:eastAsia="仿宋_GB2312" w:cs="Times New Roman"/>
                <w:color w:val="000000"/>
                <w:kern w:val="0"/>
                <w:sz w:val="18"/>
                <w:szCs w:val="18"/>
                <w:highlight w:val="none"/>
              </w:rPr>
            </w:pPr>
          </w:p>
          <w:p w14:paraId="6DDA2B3B">
            <w:pPr>
              <w:spacing w:line="0" w:lineRule="atLeast"/>
              <w:jc w:val="center"/>
              <w:rPr>
                <w:rFonts w:hint="default" w:ascii="Times New Roman" w:hAnsi="Times New Roman" w:eastAsia="仿宋_GB2312" w:cs="Times New Roman"/>
                <w:color w:val="000000"/>
                <w:kern w:val="0"/>
                <w:sz w:val="18"/>
                <w:szCs w:val="18"/>
                <w:highlight w:val="none"/>
              </w:rPr>
            </w:pPr>
          </w:p>
          <w:p w14:paraId="5BFB6B35">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1C0D5D0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14:paraId="3DDC255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1447EB4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6" w:type="dxa"/>
            <w:shd w:val="clear" w:color="000000" w:fill="FFFFFF"/>
            <w:vAlign w:val="center"/>
          </w:tcPr>
          <w:p w14:paraId="15A0618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14:paraId="6F470F7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40E302D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04228DB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0" w:type="dxa"/>
            <w:shd w:val="clear" w:color="000000" w:fill="FFFFFF"/>
            <w:vAlign w:val="center"/>
          </w:tcPr>
          <w:p w14:paraId="0F6A4C4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5527000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784F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4" w:type="dxa"/>
            <w:vMerge w:val="continue"/>
            <w:shd w:val="clear" w:color="auto" w:fill="FFFFFF"/>
            <w:vAlign w:val="center"/>
          </w:tcPr>
          <w:p w14:paraId="1F318079">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2C19BD76">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0F95E7D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6" w:type="dxa"/>
            <w:shd w:val="clear" w:color="auto" w:fill="FFFFFF"/>
            <w:vAlign w:val="center"/>
          </w:tcPr>
          <w:p w14:paraId="5EAFC04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14:paraId="11625A6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0" w:type="dxa"/>
            <w:shd w:val="clear" w:color="auto" w:fill="FFFFFF"/>
            <w:vAlign w:val="center"/>
          </w:tcPr>
          <w:p w14:paraId="117CE73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2462046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70E80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14:paraId="34ECC4EF">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3C0309E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4B61E63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316CA63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6" w:type="dxa"/>
            <w:shd w:val="clear" w:color="000000" w:fill="FFFFFF"/>
            <w:vAlign w:val="center"/>
          </w:tcPr>
          <w:p w14:paraId="62342EE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14:paraId="5DEF89A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0" w:type="dxa"/>
            <w:shd w:val="clear" w:color="000000" w:fill="FFFFFF"/>
            <w:vAlign w:val="center"/>
          </w:tcPr>
          <w:p w14:paraId="67177F0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0891F9A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A398B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4" w:type="dxa"/>
            <w:vMerge w:val="continue"/>
            <w:shd w:val="clear" w:color="auto" w:fill="FFFFFF"/>
            <w:vAlign w:val="center"/>
          </w:tcPr>
          <w:p w14:paraId="4945BC45">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691DCFE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04913222">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56A9845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2C9FEB5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6" w:type="dxa"/>
            <w:shd w:val="clear" w:color="000000" w:fill="FFFFFF"/>
            <w:vAlign w:val="center"/>
          </w:tcPr>
          <w:p w14:paraId="4BC1E4C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14:paraId="0D1BA24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0" w:type="dxa"/>
            <w:shd w:val="clear" w:color="000000" w:fill="FFFFFF"/>
            <w:vAlign w:val="center"/>
          </w:tcPr>
          <w:p w14:paraId="2BA1D30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34C43E4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C06DC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4" w:type="dxa"/>
            <w:vMerge w:val="continue"/>
            <w:shd w:val="clear" w:color="auto" w:fill="FFFFFF"/>
            <w:vAlign w:val="center"/>
          </w:tcPr>
          <w:p w14:paraId="4127753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18039E4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4334997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445DC15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6" w:type="dxa"/>
            <w:shd w:val="clear" w:color="000000" w:fill="FFFFFF"/>
            <w:vAlign w:val="center"/>
          </w:tcPr>
          <w:p w14:paraId="784568E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14:paraId="70B596F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0" w:type="dxa"/>
            <w:shd w:val="clear" w:color="000000" w:fill="FFFFFF"/>
            <w:vAlign w:val="center"/>
          </w:tcPr>
          <w:p w14:paraId="65FB6F9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3364754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02057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4" w:type="dxa"/>
            <w:vMerge w:val="restart"/>
            <w:shd w:val="clear" w:color="auto" w:fill="FFFFFF"/>
            <w:vAlign w:val="center"/>
          </w:tcPr>
          <w:p w14:paraId="493E668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14:paraId="586C875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14:paraId="7F1137E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6" w:type="dxa"/>
            <w:shd w:val="clear" w:color="000000" w:fill="FFFFFF"/>
            <w:vAlign w:val="center"/>
          </w:tcPr>
          <w:p w14:paraId="7603FDA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14:paraId="0F37979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0" w:type="dxa"/>
            <w:shd w:val="clear" w:color="000000" w:fill="FFFFFF"/>
            <w:vAlign w:val="center"/>
          </w:tcPr>
          <w:p w14:paraId="5440FCF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299FDDA3">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64E16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004" w:type="dxa"/>
            <w:vMerge w:val="continue"/>
            <w:shd w:val="clear" w:color="auto" w:fill="FFFFFF"/>
            <w:vAlign w:val="center"/>
          </w:tcPr>
          <w:p w14:paraId="0C276E69">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00B95CE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14:paraId="3DFCC99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6" w:type="dxa"/>
            <w:shd w:val="clear" w:color="000000" w:fill="FFFFFF"/>
            <w:vAlign w:val="center"/>
          </w:tcPr>
          <w:p w14:paraId="7DAB010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14:paraId="663B8AC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6F5C554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14:paraId="766E4FC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61FA58B7">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DE253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4" w:type="dxa"/>
            <w:vMerge w:val="continue"/>
            <w:shd w:val="clear" w:color="auto" w:fill="FFFFFF"/>
            <w:vAlign w:val="center"/>
          </w:tcPr>
          <w:p w14:paraId="0CA49C9B">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4BB98FE2">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14:paraId="59BF6B7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6" w:type="dxa"/>
            <w:shd w:val="clear" w:color="000000" w:fill="FFFFFF"/>
            <w:vAlign w:val="center"/>
          </w:tcPr>
          <w:p w14:paraId="1251C48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14:paraId="3777F07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0" w:type="dxa"/>
            <w:shd w:val="clear" w:color="000000" w:fill="FFFFFF"/>
            <w:vAlign w:val="center"/>
          </w:tcPr>
          <w:p w14:paraId="627519E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560D6CD7">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D456C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14:paraId="55D57042">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3C425D6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147B15F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6" w:type="dxa"/>
            <w:shd w:val="clear" w:color="000000" w:fill="FFFFFF"/>
            <w:vAlign w:val="center"/>
          </w:tcPr>
          <w:p w14:paraId="006F2BF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32770DC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0" w:type="dxa"/>
            <w:shd w:val="clear" w:color="000000" w:fill="FFFFFF"/>
            <w:vAlign w:val="center"/>
          </w:tcPr>
          <w:p w14:paraId="213B1F8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3F5E93FF">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C1CD1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4" w:type="dxa"/>
            <w:vMerge w:val="restart"/>
            <w:shd w:val="clear" w:color="auto" w:fill="FFFFFF"/>
            <w:vAlign w:val="center"/>
          </w:tcPr>
          <w:p w14:paraId="2908B02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14:paraId="7A30586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14:paraId="7C594D7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6" w:type="dxa"/>
            <w:shd w:val="clear" w:color="auto" w:fill="FFFFFF"/>
            <w:vAlign w:val="center"/>
          </w:tcPr>
          <w:p w14:paraId="2AEFB0B1">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14:paraId="48B9673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0" w:type="dxa"/>
            <w:shd w:val="clear" w:color="auto" w:fill="FFFFFF"/>
            <w:vAlign w:val="center"/>
          </w:tcPr>
          <w:p w14:paraId="74C872F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auto" w:fill="FFFFFF"/>
            <w:vAlign w:val="center"/>
          </w:tcPr>
          <w:p w14:paraId="636C0B70">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8E48C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4" w:type="dxa"/>
            <w:vMerge w:val="continue"/>
            <w:shd w:val="clear" w:color="auto" w:fill="FFFFFF"/>
            <w:vAlign w:val="center"/>
          </w:tcPr>
          <w:p w14:paraId="72119DC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5D9B5B2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06475CB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6" w:type="dxa"/>
            <w:shd w:val="clear" w:color="000000" w:fill="FFFFFF"/>
            <w:vAlign w:val="center"/>
          </w:tcPr>
          <w:p w14:paraId="460BF14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2FBF60A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0" w:type="dxa"/>
            <w:shd w:val="clear" w:color="000000" w:fill="FFFFFF"/>
            <w:vAlign w:val="center"/>
          </w:tcPr>
          <w:p w14:paraId="082C7F9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2BC3D9C6">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14:paraId="41E8BF70">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73BECFE9">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附件2</w:t>
      </w:r>
    </w:p>
    <w:p w14:paraId="74A8CD3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14:paraId="633BFE0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4"/>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651"/>
        <w:gridCol w:w="1384"/>
      </w:tblGrid>
      <w:tr w14:paraId="6D1FD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575B3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689C2FA">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原新疆日用玻璃厂职工档案数字化项目</w:t>
            </w:r>
          </w:p>
        </w:tc>
      </w:tr>
      <w:tr w14:paraId="305C6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7D28E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55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1FBFC58">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自治区工业和信息化厅</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F5087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278554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轻工业行业管理处</w:t>
            </w:r>
          </w:p>
        </w:tc>
      </w:tr>
      <w:tr w14:paraId="439B5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F3267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C4E29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70DE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963AD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EEFFB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91EA9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14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2BAAD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E744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14:paraId="6F663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2D6F31">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7E1F9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2024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15</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63CE7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15</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275D63">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14.75</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4A9CBA">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4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9472B5">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98</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094B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9.83</w:t>
            </w:r>
          </w:p>
        </w:tc>
      </w:tr>
      <w:tr w14:paraId="2819C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CBC9A">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C5BAB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555D8">
            <w:pPr>
              <w:jc w:val="center"/>
              <w:rPr>
                <w:rFonts w:hint="eastAsia" w:ascii="仿宋_GB2312" w:hAnsi="仿宋_GB2312" w:eastAsia="仿宋_GB2312" w:cs="仿宋_GB2312"/>
                <w:i w:val="0"/>
                <w:iCs w:val="0"/>
                <w:color w:val="000000"/>
                <w:sz w:val="18"/>
                <w:szCs w:val="18"/>
                <w:u w:val="none"/>
              </w:rPr>
            </w:pP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922A24">
            <w:pPr>
              <w:jc w:val="center"/>
              <w:rPr>
                <w:rFonts w:hint="eastAsia" w:ascii="仿宋_GB2312" w:hAnsi="仿宋_GB2312" w:eastAsia="仿宋_GB2312" w:cs="仿宋_GB2312"/>
                <w:i w:val="0"/>
                <w:iCs w:val="0"/>
                <w:color w:val="000000"/>
                <w:sz w:val="18"/>
                <w:szCs w:val="18"/>
                <w:u w:val="none"/>
              </w:rPr>
            </w:pP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7F6FD5">
            <w:pPr>
              <w:jc w:val="center"/>
              <w:rPr>
                <w:rFonts w:hint="eastAsia" w:ascii="仿宋_GB2312" w:hAnsi="仿宋_GB2312" w:eastAsia="仿宋_GB2312" w:cs="仿宋_GB2312"/>
                <w:i w:val="0"/>
                <w:iCs w:val="0"/>
                <w:color w:val="000000"/>
                <w:sz w:val="18"/>
                <w:szCs w:val="18"/>
                <w:u w:val="none"/>
              </w:rPr>
            </w:pP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FA03E6">
            <w:pPr>
              <w:jc w:val="center"/>
              <w:rPr>
                <w:rFonts w:hint="eastAsia" w:ascii="仿宋_GB2312" w:hAnsi="仿宋_GB2312" w:eastAsia="仿宋_GB2312" w:cs="仿宋_GB2312"/>
                <w:i w:val="0"/>
                <w:iCs w:val="0"/>
                <w:color w:val="000000"/>
                <w:sz w:val="18"/>
                <w:szCs w:val="18"/>
                <w:u w:val="none"/>
              </w:rPr>
            </w:pPr>
          </w:p>
        </w:tc>
        <w:tc>
          <w:tcPr>
            <w:tcW w:w="14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447C2D">
            <w:pPr>
              <w:jc w:val="center"/>
              <w:rPr>
                <w:rFonts w:hint="eastAsia" w:ascii="仿宋_GB2312" w:hAnsi="仿宋_GB2312" w:eastAsia="仿宋_GB2312" w:cs="仿宋_GB2312"/>
                <w:i w:val="0"/>
                <w:iCs w:val="0"/>
                <w:color w:val="000000"/>
                <w:sz w:val="18"/>
                <w:szCs w:val="18"/>
                <w:u w:val="none"/>
              </w:rPr>
            </w:pP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D8C21">
            <w:pPr>
              <w:jc w:val="center"/>
              <w:rPr>
                <w:rFonts w:hint="eastAsia" w:ascii="仿宋_GB2312" w:hAnsi="仿宋_GB2312" w:eastAsia="仿宋_GB2312" w:cs="仿宋_GB2312"/>
                <w:i w:val="0"/>
                <w:iCs w:val="0"/>
                <w:color w:val="000000"/>
                <w:sz w:val="18"/>
                <w:szCs w:val="18"/>
                <w:u w:val="none"/>
              </w:rPr>
            </w:pPr>
          </w:p>
        </w:tc>
      </w:tr>
      <w:tr w14:paraId="602C6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BB46C">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nil"/>
              <w:right w:val="single" w:color="000000" w:sz="4" w:space="0"/>
            </w:tcBorders>
            <w:shd w:val="clear" w:color="auto" w:fill="auto"/>
            <w:vAlign w:val="center"/>
          </w:tcPr>
          <w:p w14:paraId="27D8A35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1140" w:type="dxa"/>
            <w:tcBorders>
              <w:top w:val="single" w:color="000000" w:sz="4" w:space="0"/>
              <w:left w:val="single" w:color="000000" w:sz="4" w:space="0"/>
              <w:bottom w:val="nil"/>
              <w:right w:val="single" w:color="000000" w:sz="4" w:space="0"/>
            </w:tcBorders>
            <w:shd w:val="clear" w:color="auto" w:fill="auto"/>
            <w:vAlign w:val="center"/>
          </w:tcPr>
          <w:p w14:paraId="4A2EFB45">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15</w:t>
            </w:r>
          </w:p>
        </w:tc>
        <w:tc>
          <w:tcPr>
            <w:tcW w:w="2088" w:type="dxa"/>
            <w:gridSpan w:val="2"/>
            <w:tcBorders>
              <w:top w:val="single" w:color="000000" w:sz="4" w:space="0"/>
              <w:left w:val="single" w:color="000000" w:sz="4" w:space="0"/>
              <w:bottom w:val="nil"/>
              <w:right w:val="single" w:color="000000" w:sz="4" w:space="0"/>
            </w:tcBorders>
            <w:shd w:val="clear" w:color="auto" w:fill="auto"/>
            <w:vAlign w:val="center"/>
          </w:tcPr>
          <w:p w14:paraId="1353DC5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15</w:t>
            </w:r>
          </w:p>
        </w:tc>
        <w:tc>
          <w:tcPr>
            <w:tcW w:w="1719" w:type="dxa"/>
            <w:gridSpan w:val="2"/>
            <w:tcBorders>
              <w:top w:val="single" w:color="000000" w:sz="4" w:space="0"/>
              <w:left w:val="single" w:color="000000" w:sz="4" w:space="0"/>
              <w:bottom w:val="nil"/>
              <w:right w:val="single" w:color="000000" w:sz="4" w:space="0"/>
            </w:tcBorders>
            <w:shd w:val="clear" w:color="auto" w:fill="auto"/>
            <w:vAlign w:val="center"/>
          </w:tcPr>
          <w:p w14:paraId="33E0760A">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14.75</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245D2E">
            <w:pPr>
              <w:jc w:val="center"/>
              <w:rPr>
                <w:rFonts w:hint="eastAsia" w:ascii="仿宋_GB2312" w:hAnsi="仿宋_GB2312" w:eastAsia="仿宋_GB2312" w:cs="仿宋_GB2312"/>
                <w:i w:val="0"/>
                <w:iCs w:val="0"/>
                <w:color w:val="000000"/>
                <w:sz w:val="18"/>
                <w:szCs w:val="18"/>
                <w:u w:val="none"/>
              </w:rPr>
            </w:pPr>
          </w:p>
        </w:tc>
        <w:tc>
          <w:tcPr>
            <w:tcW w:w="14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291679">
            <w:pPr>
              <w:jc w:val="center"/>
              <w:rPr>
                <w:rFonts w:hint="eastAsia" w:ascii="仿宋_GB2312" w:hAnsi="仿宋_GB2312" w:eastAsia="仿宋_GB2312" w:cs="仿宋_GB2312"/>
                <w:i w:val="0"/>
                <w:iCs w:val="0"/>
                <w:color w:val="000000"/>
                <w:sz w:val="18"/>
                <w:szCs w:val="18"/>
                <w:u w:val="none"/>
              </w:rPr>
            </w:pP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0BD76">
            <w:pPr>
              <w:jc w:val="center"/>
              <w:rPr>
                <w:rFonts w:hint="eastAsia" w:ascii="仿宋_GB2312" w:hAnsi="仿宋_GB2312" w:eastAsia="仿宋_GB2312" w:cs="仿宋_GB2312"/>
                <w:i w:val="0"/>
                <w:iCs w:val="0"/>
                <w:color w:val="000000"/>
                <w:sz w:val="18"/>
                <w:szCs w:val="18"/>
                <w:u w:val="none"/>
              </w:rPr>
            </w:pPr>
          </w:p>
        </w:tc>
      </w:tr>
      <w:tr w14:paraId="6628D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1508D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8560F2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E565E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14:paraId="356C6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553862">
            <w:pPr>
              <w:jc w:val="center"/>
              <w:rPr>
                <w:rFonts w:hint="eastAsia" w:ascii="仿宋_GB2312" w:hAnsi="仿宋_GB2312" w:eastAsia="仿宋_GB2312" w:cs="仿宋_GB2312"/>
                <w:i w:val="0"/>
                <w:iCs w:val="0"/>
                <w:color w:val="000000"/>
                <w:sz w:val="18"/>
                <w:szCs w:val="18"/>
                <w:u w:val="none"/>
              </w:rPr>
            </w:pP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63780797">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对原新疆日用玻璃厂职工档案数字化，更好处理机构改革历史遗留问题，有效助推解决企业档案存储和查询等问题。</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4C17E2C">
            <w:pPr>
              <w:jc w:val="left"/>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对</w:t>
            </w:r>
            <w:r>
              <w:rPr>
                <w:rFonts w:hint="eastAsia" w:ascii="仿宋_GB2312" w:hAnsi="仿宋_GB2312" w:eastAsia="仿宋_GB2312" w:cs="仿宋_GB2312"/>
                <w:i w:val="0"/>
                <w:iCs w:val="0"/>
                <w:color w:val="000000"/>
                <w:sz w:val="18"/>
                <w:szCs w:val="18"/>
                <w:u w:val="none"/>
              </w:rPr>
              <w:t>原新疆日用玻璃厂职工档案数字化</w:t>
            </w:r>
            <w:r>
              <w:rPr>
                <w:rFonts w:hint="eastAsia" w:ascii="仿宋_GB2312" w:hAnsi="仿宋_GB2312" w:eastAsia="仿宋_GB2312" w:cs="仿宋_GB2312"/>
                <w:i w:val="0"/>
                <w:iCs w:val="0"/>
                <w:color w:val="000000"/>
                <w:sz w:val="18"/>
                <w:szCs w:val="18"/>
                <w:u w:val="none"/>
                <w:lang w:eastAsia="zh-CN"/>
              </w:rPr>
              <w:t>，更好处理机构改革历史遗留问题，有效助推解决企业档案存储和查询等问题。</w:t>
            </w:r>
          </w:p>
        </w:tc>
      </w:tr>
      <w:tr w14:paraId="43A59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83C83F">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B816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8E33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CDB7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4DFB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600F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8E65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19E9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F752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FB8B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469E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64DC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5F10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A8CD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14:paraId="70B72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084F2">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D022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6A28369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14:paraId="4768753F">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整理档案件数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54A87">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&gt;=1.10万件</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304BB">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56316">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E9AF7">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8AEB9">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D38AB">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613BE">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1.10万件</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0217F">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198F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B381B">
            <w:pPr>
              <w:jc w:val="center"/>
              <w:rPr>
                <w:rFonts w:hint="eastAsia" w:ascii="仿宋_GB2312" w:hAnsi="仿宋_GB2312" w:eastAsia="仿宋_GB2312" w:cs="仿宋_GB2312"/>
                <w:i w:val="0"/>
                <w:iCs w:val="0"/>
                <w:color w:val="000000"/>
                <w:sz w:val="18"/>
                <w:szCs w:val="18"/>
                <w:u w:val="none"/>
              </w:rPr>
            </w:pPr>
          </w:p>
        </w:tc>
      </w:tr>
      <w:tr w14:paraId="6F985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B2B2B">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5CA76">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DC33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F679F">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录入档案信息</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00C4B">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&gt;=1.10万条</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631D6">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B1B77">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A84A7">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69C42">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F39AB">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5463E">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1.10万件</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0360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F74A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33FFD">
            <w:pPr>
              <w:jc w:val="center"/>
              <w:rPr>
                <w:rFonts w:hint="eastAsia" w:ascii="仿宋_GB2312" w:hAnsi="仿宋_GB2312" w:eastAsia="仿宋_GB2312" w:cs="仿宋_GB2312"/>
                <w:i w:val="0"/>
                <w:iCs w:val="0"/>
                <w:color w:val="000000"/>
                <w:sz w:val="18"/>
                <w:szCs w:val="18"/>
                <w:u w:val="none"/>
              </w:rPr>
            </w:pPr>
          </w:p>
        </w:tc>
      </w:tr>
      <w:tr w14:paraId="07938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D4B5C4">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A52AF">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CFEE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C2C2F">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档案验收合格率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01946">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76E5C">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7A522">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B0F1F">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D20A9">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50342">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88CA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814A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08DD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9AD5E">
            <w:pPr>
              <w:jc w:val="center"/>
              <w:rPr>
                <w:rFonts w:hint="eastAsia" w:ascii="仿宋_GB2312" w:hAnsi="仿宋_GB2312" w:eastAsia="仿宋_GB2312" w:cs="仿宋_GB2312"/>
                <w:i w:val="0"/>
                <w:iCs w:val="0"/>
                <w:color w:val="000000"/>
                <w:sz w:val="18"/>
                <w:szCs w:val="18"/>
                <w:u w:val="none"/>
              </w:rPr>
            </w:pPr>
          </w:p>
        </w:tc>
      </w:tr>
      <w:tr w14:paraId="2CF0D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A3591">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40E5A">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3103113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C61EA">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项目按期完成率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FA9E9">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D9C15">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E3DB0">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74BC0">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C4DFE">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10C98">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A7AC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C7C5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BD096">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F2AB0">
            <w:pPr>
              <w:jc w:val="center"/>
              <w:rPr>
                <w:rFonts w:hint="eastAsia" w:ascii="仿宋_GB2312" w:hAnsi="仿宋_GB2312" w:eastAsia="仿宋_GB2312" w:cs="仿宋_GB2312"/>
                <w:b/>
                <w:bCs/>
                <w:i w:val="0"/>
                <w:iCs w:val="0"/>
                <w:color w:val="000000"/>
                <w:sz w:val="18"/>
                <w:szCs w:val="18"/>
                <w:u w:val="none"/>
              </w:rPr>
            </w:pPr>
          </w:p>
        </w:tc>
      </w:tr>
      <w:tr w14:paraId="731C9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C5F14">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right w:val="single" w:color="000000" w:sz="4" w:space="0"/>
            </w:tcBorders>
            <w:shd w:val="clear" w:color="auto" w:fill="auto"/>
            <w:vAlign w:val="center"/>
          </w:tcPr>
          <w:p w14:paraId="696364C3">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1312" w:type="dxa"/>
            <w:vMerge w:val="restart"/>
            <w:tcBorders>
              <w:top w:val="single" w:color="000000" w:sz="4" w:space="0"/>
              <w:left w:val="single" w:color="000000" w:sz="4" w:space="0"/>
              <w:right w:val="single" w:color="000000" w:sz="4" w:space="0"/>
            </w:tcBorders>
            <w:shd w:val="clear" w:color="auto" w:fill="auto"/>
            <w:noWrap/>
            <w:vAlign w:val="center"/>
          </w:tcPr>
          <w:p w14:paraId="39631ED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09207">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整理及录入成本</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9713C">
            <w:pPr>
              <w:keepNext w:val="0"/>
              <w:keepLines w:val="0"/>
              <w:widowControl/>
              <w:suppressLineNumbers w:val="0"/>
              <w:jc w:val="left"/>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&lt;=8.8万元</w:t>
            </w:r>
          </w:p>
        </w:tc>
        <w:tc>
          <w:tcPr>
            <w:tcW w:w="1164" w:type="dxa"/>
            <w:tcBorders>
              <w:top w:val="single" w:color="000000" w:sz="4" w:space="0"/>
              <w:left w:val="single" w:color="000000" w:sz="4" w:space="0"/>
              <w:bottom w:val="nil"/>
              <w:right w:val="single" w:color="000000" w:sz="4" w:space="0"/>
            </w:tcBorders>
            <w:shd w:val="clear" w:color="auto" w:fill="auto"/>
            <w:vAlign w:val="center"/>
          </w:tcPr>
          <w:p w14:paraId="0D6A716D">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预算支出标准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F6852">
            <w:pPr>
              <w:keepNext w:val="0"/>
              <w:keepLines w:val="0"/>
              <w:widowControl/>
              <w:suppressLineNumbers w:val="0"/>
              <w:jc w:val="left"/>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2F19C">
            <w:pPr>
              <w:keepNext w:val="0"/>
              <w:keepLines w:val="0"/>
              <w:widowControl/>
              <w:suppressLineNumbers w:val="0"/>
              <w:jc w:val="left"/>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882" w:type="dxa"/>
            <w:tcBorders>
              <w:top w:val="single" w:color="000000" w:sz="4" w:space="0"/>
              <w:left w:val="single" w:color="000000" w:sz="4" w:space="0"/>
              <w:bottom w:val="nil"/>
              <w:right w:val="single" w:color="000000" w:sz="4" w:space="0"/>
            </w:tcBorders>
            <w:shd w:val="clear" w:color="auto" w:fill="auto"/>
            <w:vAlign w:val="center"/>
          </w:tcPr>
          <w:p w14:paraId="21087DBB">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1D6CA">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51A1E">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8.8万元</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A8A2A">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B09CA">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279CA">
            <w:pPr>
              <w:jc w:val="center"/>
              <w:rPr>
                <w:rFonts w:hint="eastAsia" w:ascii="仿宋_GB2312" w:hAnsi="仿宋_GB2312" w:eastAsia="仿宋_GB2312" w:cs="仿宋_GB2312"/>
                <w:i w:val="0"/>
                <w:iCs w:val="0"/>
                <w:color w:val="000000"/>
                <w:sz w:val="18"/>
                <w:szCs w:val="18"/>
                <w:u w:val="none"/>
              </w:rPr>
            </w:pPr>
          </w:p>
        </w:tc>
      </w:tr>
      <w:tr w14:paraId="5B3A7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2B7B3">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bottom w:val="single" w:color="000000" w:sz="4" w:space="0"/>
              <w:right w:val="single" w:color="000000" w:sz="4" w:space="0"/>
            </w:tcBorders>
            <w:shd w:val="clear" w:color="auto" w:fill="auto"/>
            <w:vAlign w:val="center"/>
          </w:tcPr>
          <w:p w14:paraId="502DD241">
            <w:pPr>
              <w:jc w:val="center"/>
              <w:rPr>
                <w:rFonts w:hint="default" w:ascii="仿宋_GB2312" w:hAnsi="仿宋_GB2312" w:eastAsia="仿宋_GB2312" w:cs="仿宋_GB2312"/>
                <w:i w:val="0"/>
                <w:iCs w:val="0"/>
                <w:color w:val="000000"/>
                <w:sz w:val="18"/>
                <w:szCs w:val="18"/>
                <w:u w:val="none"/>
                <w:lang w:val="en-US" w:eastAsia="zh-CN"/>
              </w:rPr>
            </w:pPr>
          </w:p>
        </w:tc>
        <w:tc>
          <w:tcPr>
            <w:tcW w:w="1312" w:type="dxa"/>
            <w:vMerge w:val="continue"/>
            <w:tcBorders>
              <w:left w:val="single" w:color="000000" w:sz="4" w:space="0"/>
              <w:bottom w:val="nil"/>
              <w:right w:val="single" w:color="000000" w:sz="4" w:space="0"/>
            </w:tcBorders>
            <w:shd w:val="clear" w:color="auto" w:fill="auto"/>
            <w:noWrap/>
            <w:vAlign w:val="center"/>
          </w:tcPr>
          <w:p w14:paraId="41BA07B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3E2CF">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装订及其他费用</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E4C73">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&lt;=6.2万元</w:t>
            </w:r>
          </w:p>
        </w:tc>
        <w:tc>
          <w:tcPr>
            <w:tcW w:w="1164" w:type="dxa"/>
            <w:tcBorders>
              <w:top w:val="single" w:color="000000" w:sz="4" w:space="0"/>
              <w:left w:val="single" w:color="000000" w:sz="4" w:space="0"/>
              <w:bottom w:val="nil"/>
              <w:right w:val="single" w:color="000000" w:sz="4" w:space="0"/>
            </w:tcBorders>
            <w:shd w:val="clear" w:color="auto" w:fill="auto"/>
            <w:vAlign w:val="center"/>
          </w:tcPr>
          <w:p w14:paraId="2FFB23AA">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预算支出标准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951DB">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052C1">
            <w:pPr>
              <w:keepNext w:val="0"/>
              <w:keepLines w:val="0"/>
              <w:widowControl/>
              <w:suppressLineNumbers w:val="0"/>
              <w:jc w:val="left"/>
              <w:textAlignment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882" w:type="dxa"/>
            <w:tcBorders>
              <w:top w:val="single" w:color="000000" w:sz="4" w:space="0"/>
              <w:left w:val="single" w:color="000000" w:sz="4" w:space="0"/>
              <w:bottom w:val="nil"/>
              <w:right w:val="single" w:color="000000" w:sz="4" w:space="0"/>
            </w:tcBorders>
            <w:shd w:val="clear" w:color="auto" w:fill="auto"/>
            <w:vAlign w:val="center"/>
          </w:tcPr>
          <w:p w14:paraId="7E8C00EF">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04C80">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5ACD2">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5.95万元</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105D6">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95.97%</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196F6">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8.99</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96D4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偏差原因：按照档案实际情况，有需要裱糊的档案，在控制总预算金额的基础上，调剂使用，改进措施：按照档案实际情况，科学合理调配资金使用比例。</w:t>
            </w:r>
          </w:p>
        </w:tc>
      </w:tr>
      <w:tr w14:paraId="68EE9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2681E">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right w:val="single" w:color="000000" w:sz="4" w:space="0"/>
            </w:tcBorders>
            <w:shd w:val="clear" w:color="auto" w:fill="auto"/>
            <w:vAlign w:val="center"/>
          </w:tcPr>
          <w:p w14:paraId="645FF156">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效益指标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874F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F910D">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助推原破产企业职工档案查询数字化、便捷化</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E0965">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有效助推</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39D4E">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54A46">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F6A1D">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20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4228E">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按评判等级赋分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CD85E">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说明材料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612F2">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有效助推</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B86A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F5FD3">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0E8B3">
            <w:pPr>
              <w:jc w:val="center"/>
              <w:rPr>
                <w:rFonts w:hint="eastAsia" w:ascii="仿宋_GB2312" w:hAnsi="仿宋_GB2312" w:eastAsia="仿宋_GB2312" w:cs="仿宋_GB2312"/>
                <w:i w:val="0"/>
                <w:iCs w:val="0"/>
                <w:color w:val="000000"/>
                <w:sz w:val="18"/>
                <w:szCs w:val="18"/>
                <w:u w:val="none"/>
              </w:rPr>
            </w:pPr>
          </w:p>
        </w:tc>
      </w:tr>
      <w:tr w14:paraId="52BF9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F9F4B">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0C98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FEA1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17B33">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使用人员满意度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964FF">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&gt;=95%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41778">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69305">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7E8D6">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9A604">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满意度赋分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16BA4">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1E9F6">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95%</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821D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8C09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DDAE5">
            <w:pPr>
              <w:jc w:val="center"/>
              <w:rPr>
                <w:rFonts w:hint="eastAsia" w:ascii="仿宋_GB2312" w:hAnsi="仿宋_GB2312" w:eastAsia="仿宋_GB2312" w:cs="仿宋_GB2312"/>
                <w:i w:val="0"/>
                <w:iCs w:val="0"/>
                <w:color w:val="000000"/>
                <w:sz w:val="18"/>
                <w:szCs w:val="18"/>
                <w:u w:val="none"/>
              </w:rPr>
            </w:pPr>
          </w:p>
        </w:tc>
      </w:tr>
      <w:tr w14:paraId="4B423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553" w:type="dxa"/>
            <w:gridSpan w:val="4"/>
            <w:tcBorders>
              <w:top w:val="single" w:color="000000" w:sz="4" w:space="0"/>
              <w:left w:val="single" w:color="000000" w:sz="4" w:space="0"/>
              <w:bottom w:val="single" w:color="000000" w:sz="4" w:space="0"/>
              <w:right w:val="nil"/>
            </w:tcBorders>
            <w:shd w:val="clear" w:color="auto" w:fill="auto"/>
            <w:vAlign w:val="center"/>
          </w:tcPr>
          <w:p w14:paraId="6BADF5C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AE867">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nil"/>
              <w:bottom w:val="single" w:color="000000" w:sz="4" w:space="0"/>
              <w:right w:val="single" w:color="000000" w:sz="4" w:space="0"/>
            </w:tcBorders>
            <w:shd w:val="clear" w:color="auto" w:fill="auto"/>
            <w:vAlign w:val="center"/>
          </w:tcPr>
          <w:p w14:paraId="3C95E220">
            <w:pPr>
              <w:rPr>
                <w:rFonts w:hint="eastAsia" w:ascii="仿宋_GB2312" w:hAnsi="仿宋_GB2312" w:eastAsia="仿宋_GB2312" w:cs="仿宋_GB2312"/>
                <w:b/>
                <w:bCs/>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72588">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663E2">
            <w:pPr>
              <w:jc w:val="center"/>
              <w:rPr>
                <w:rFonts w:hint="eastAsia" w:ascii="仿宋_GB2312" w:hAnsi="仿宋_GB2312" w:eastAsia="仿宋_GB2312" w:cs="仿宋_GB2312"/>
                <w:i w:val="0"/>
                <w:iCs w:val="0"/>
                <w:color w:val="000000"/>
                <w:sz w:val="18"/>
                <w:szCs w:val="18"/>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47259">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8C783">
            <w:pP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CD038">
            <w:pP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78F04">
            <w:pPr>
              <w:rPr>
                <w:rFonts w:hint="eastAsia" w:ascii="仿宋_GB2312" w:hAnsi="仿宋_GB2312" w:eastAsia="仿宋_GB2312" w:cs="仿宋_GB2312"/>
                <w:i w:val="0"/>
                <w:iCs w:val="0"/>
                <w:color w:val="000000"/>
                <w:sz w:val="18"/>
                <w:szCs w:val="18"/>
                <w:u w:val="none"/>
              </w:rPr>
            </w:pPr>
          </w:p>
        </w:tc>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9D57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98.82</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06D4F">
            <w:pPr>
              <w:rPr>
                <w:rFonts w:hint="eastAsia" w:ascii="仿宋_GB2312" w:hAnsi="仿宋_GB2312" w:eastAsia="仿宋_GB2312" w:cs="仿宋_GB2312"/>
                <w:i w:val="0"/>
                <w:iCs w:val="0"/>
                <w:color w:val="000000"/>
                <w:sz w:val="18"/>
                <w:szCs w:val="18"/>
                <w:u w:val="none"/>
              </w:rPr>
            </w:pPr>
          </w:p>
        </w:tc>
      </w:tr>
    </w:tbl>
    <w:p w14:paraId="721D64D2">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8CE12DD-3053-478C-A8C1-D471A2C57BA3}"/>
  </w:font>
  <w:font w:name="黑体">
    <w:panose1 w:val="02010609060101010101"/>
    <w:charset w:val="86"/>
    <w:family w:val="auto"/>
    <w:pitch w:val="default"/>
    <w:sig w:usb0="800002BF" w:usb1="38CF7CFA" w:usb2="00000016" w:usb3="00000000" w:csb0="00040001" w:csb1="00000000"/>
    <w:embedRegular r:id="rId2" w:fontKey="{C6744FD7-6079-4D1B-AF08-ADDB56010C6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26D93D54-EA13-4776-9444-19EE85752823}"/>
  </w:font>
  <w:font w:name="华文中宋">
    <w:panose1 w:val="02010600040101010101"/>
    <w:charset w:val="86"/>
    <w:family w:val="auto"/>
    <w:pitch w:val="default"/>
    <w:sig w:usb0="00000287" w:usb1="080F0000" w:usb2="00000000" w:usb3="00000000" w:csb0="0004009F" w:csb1="DFD70000"/>
    <w:embedRegular r:id="rId4" w:fontKey="{385093A0-F5DD-45E6-AEB5-816870BA5E99}"/>
  </w:font>
  <w:font w:name="方正小标宋_GBK">
    <w:panose1 w:val="02000000000000000000"/>
    <w:charset w:val="86"/>
    <w:family w:val="script"/>
    <w:pitch w:val="default"/>
    <w:sig w:usb0="A00002BF" w:usb1="38CF7CFA" w:usb2="00082016" w:usb3="00000000" w:csb0="00040001" w:csb1="00000000"/>
    <w:embedRegular r:id="rId5" w:fontKey="{E465499E-2AD8-4A98-9981-8C66F7199D0C}"/>
  </w:font>
  <w:font w:name="楷体_GB2312">
    <w:panose1 w:val="02010609030101010101"/>
    <w:charset w:val="86"/>
    <w:family w:val="auto"/>
    <w:pitch w:val="default"/>
    <w:sig w:usb0="00000001" w:usb1="080E0000" w:usb2="00000000" w:usb3="00000000" w:csb0="00040000" w:csb1="00000000"/>
    <w:embedRegular r:id="rId6" w:fontKey="{B1E2D5FE-C583-4098-BDBC-1B5FE876C1AD}"/>
  </w:font>
  <w:font w:name="楷体">
    <w:panose1 w:val="02010609060101010101"/>
    <w:charset w:val="86"/>
    <w:family w:val="modern"/>
    <w:pitch w:val="default"/>
    <w:sig w:usb0="800002BF" w:usb1="38CF7CFA" w:usb2="00000016" w:usb3="00000000" w:csb0="00040001" w:csb1="00000000"/>
    <w:embedRegular r:id="rId7" w:fontKey="{D75087CC-730D-4AA0-BAFE-76788F4D892E}"/>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54D1C9B7">
        <w:pPr>
          <w:pStyle w:val="8"/>
          <w:jc w:val="center"/>
        </w:pPr>
        <w:r>
          <w:fldChar w:fldCharType="begin"/>
        </w:r>
        <w:r>
          <w:instrText xml:space="preserve">PAGE   \* MERGEFORMAT</w:instrText>
        </w:r>
        <w:r>
          <w:fldChar w:fldCharType="separate"/>
        </w:r>
        <w:r>
          <w:rPr>
            <w:lang w:val="zh-CN"/>
          </w:rPr>
          <w:t>13</w:t>
        </w:r>
        <w:r>
          <w:fldChar w:fldCharType="end"/>
        </w:r>
      </w:p>
    </w:sdtContent>
  </w:sdt>
  <w:p w14:paraId="159AFD81">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397B77"/>
    <w:rsid w:val="0A4B10BA"/>
    <w:rsid w:val="0AD007F3"/>
    <w:rsid w:val="0C815065"/>
    <w:rsid w:val="0E3C619F"/>
    <w:rsid w:val="11170296"/>
    <w:rsid w:val="13471461"/>
    <w:rsid w:val="13B90F01"/>
    <w:rsid w:val="155E4C4D"/>
    <w:rsid w:val="17462648"/>
    <w:rsid w:val="181066D2"/>
    <w:rsid w:val="19E22192"/>
    <w:rsid w:val="1C671E73"/>
    <w:rsid w:val="1D1125A5"/>
    <w:rsid w:val="1D322C47"/>
    <w:rsid w:val="23616034"/>
    <w:rsid w:val="23D4607E"/>
    <w:rsid w:val="24480FA2"/>
    <w:rsid w:val="25227A45"/>
    <w:rsid w:val="2669ED6E"/>
    <w:rsid w:val="26AC3A6A"/>
    <w:rsid w:val="26C51E17"/>
    <w:rsid w:val="281178FD"/>
    <w:rsid w:val="2B9D7E25"/>
    <w:rsid w:val="2C7C7A3B"/>
    <w:rsid w:val="2EFC0D68"/>
    <w:rsid w:val="2F364819"/>
    <w:rsid w:val="2FD63906"/>
    <w:rsid w:val="37215DAE"/>
    <w:rsid w:val="38CA40DD"/>
    <w:rsid w:val="395F2B56"/>
    <w:rsid w:val="3B2F1238"/>
    <w:rsid w:val="3BBA0580"/>
    <w:rsid w:val="3BECE841"/>
    <w:rsid w:val="3CDE204C"/>
    <w:rsid w:val="3D363C36"/>
    <w:rsid w:val="3E9C3F6D"/>
    <w:rsid w:val="3FF7797D"/>
    <w:rsid w:val="46690BD8"/>
    <w:rsid w:val="49F70BF1"/>
    <w:rsid w:val="4B4340EE"/>
    <w:rsid w:val="4BF06537"/>
    <w:rsid w:val="503D507A"/>
    <w:rsid w:val="51FA74D0"/>
    <w:rsid w:val="52AA4A52"/>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3E7BCB9"/>
    <w:rsid w:val="642B176B"/>
    <w:rsid w:val="643EE26D"/>
    <w:rsid w:val="656019A0"/>
    <w:rsid w:val="65F242EE"/>
    <w:rsid w:val="666D7E19"/>
    <w:rsid w:val="68376930"/>
    <w:rsid w:val="68F91E38"/>
    <w:rsid w:val="692D65EE"/>
    <w:rsid w:val="69767E03"/>
    <w:rsid w:val="6B3158B9"/>
    <w:rsid w:val="6BA02A3F"/>
    <w:rsid w:val="6C1E5A53"/>
    <w:rsid w:val="6DD20F3C"/>
    <w:rsid w:val="6F5C41AC"/>
    <w:rsid w:val="6FAF6C78"/>
    <w:rsid w:val="716167CC"/>
    <w:rsid w:val="718A7AD1"/>
    <w:rsid w:val="72A44BC2"/>
    <w:rsid w:val="7317C656"/>
    <w:rsid w:val="734ED73F"/>
    <w:rsid w:val="73C82B32"/>
    <w:rsid w:val="73F94DAE"/>
    <w:rsid w:val="74220495"/>
    <w:rsid w:val="747D1B6F"/>
    <w:rsid w:val="749E5641"/>
    <w:rsid w:val="76271066"/>
    <w:rsid w:val="767FD38E"/>
    <w:rsid w:val="776FF713"/>
    <w:rsid w:val="77FD8BE9"/>
    <w:rsid w:val="78000AED"/>
    <w:rsid w:val="79A9BD3F"/>
    <w:rsid w:val="7B776F12"/>
    <w:rsid w:val="7B9F196B"/>
    <w:rsid w:val="7BFFFDD0"/>
    <w:rsid w:val="7C336E5F"/>
    <w:rsid w:val="7C8D4919"/>
    <w:rsid w:val="7D7A5F86"/>
    <w:rsid w:val="7E4B683A"/>
    <w:rsid w:val="7E5E656D"/>
    <w:rsid w:val="7E8F2BCB"/>
    <w:rsid w:val="7F37BB4E"/>
    <w:rsid w:val="7FEF7DDD"/>
    <w:rsid w:val="7FEF918E"/>
    <w:rsid w:val="7FF4FB6F"/>
    <w:rsid w:val="7FF7FF27"/>
    <w:rsid w:val="7FFDF714"/>
    <w:rsid w:val="AEFDC662"/>
    <w:rsid w:val="AF3FCD8C"/>
    <w:rsid w:val="B9FA2A43"/>
    <w:rsid w:val="BF7BA1E4"/>
    <w:rsid w:val="BFDF04FA"/>
    <w:rsid w:val="BFE227EF"/>
    <w:rsid w:val="CF2A1ABD"/>
    <w:rsid w:val="DA7D3CD9"/>
    <w:rsid w:val="DB5F903D"/>
    <w:rsid w:val="DBDC0ADA"/>
    <w:rsid w:val="DDAAFBEF"/>
    <w:rsid w:val="DEDE2B06"/>
    <w:rsid w:val="E7773746"/>
    <w:rsid w:val="EBFA31C2"/>
    <w:rsid w:val="F3F4A11B"/>
    <w:rsid w:val="F5B75C74"/>
    <w:rsid w:val="F7FF0673"/>
    <w:rsid w:val="F7FFDD19"/>
    <w:rsid w:val="F9FD7907"/>
    <w:rsid w:val="FAEF933D"/>
    <w:rsid w:val="FB3A4A6A"/>
    <w:rsid w:val="FF6C4049"/>
    <w:rsid w:val="FF78F63F"/>
    <w:rsid w:val="FF8D2000"/>
    <w:rsid w:val="FF9583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next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9446</Words>
  <Characters>9828</Characters>
  <Lines>58</Lines>
  <Paragraphs>16</Paragraphs>
  <TotalTime>14</TotalTime>
  <ScaleCrop>false</ScaleCrop>
  <LinksUpToDate>false</LinksUpToDate>
  <CharactersWithSpaces>9844</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2023-03-10T05:13:00Z</dcterms:created>
  <dc:creator>审核人</dc:creator>
  <cp:lastModifiedBy>D</cp:lastModifiedBy>
  <dcterms:modified xsi:type="dcterms:W3CDTF">2025-08-27T05:04:26Z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EC99773F21B349659AE205148812517A_13</vt:lpwstr>
  </property>
  <property fmtid="{D5CDD505-2E9C-101B-9397-08002B2CF9AE}" pid="4" name="KSOTemplateDocerSaveRecord">
    <vt:lpwstr>eyJoZGlkIjoiMTQ2NzI0ZjUzODYxOWE1YWJiNjUyOWU0YzFkMzY5Y2YiLCJ1c2VySWQiOiI0MzIyNjc3ODgifQ==</vt:lpwstr>
  </property>
</Properties>
</file>