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3C052">
      <w:pPr>
        <w:spacing w:line="540" w:lineRule="exact"/>
        <w:jc w:val="center"/>
        <w:rPr>
          <w:rFonts w:hint="default" w:ascii="Times New Roman" w:hAnsi="Times New Roman" w:eastAsia="华文中宋" w:cs="Times New Roman"/>
          <w:b/>
          <w:kern w:val="0"/>
          <w:sz w:val="52"/>
          <w:szCs w:val="52"/>
        </w:rPr>
      </w:pPr>
    </w:p>
    <w:p w14:paraId="6F25F332">
      <w:pPr>
        <w:spacing w:line="540" w:lineRule="exact"/>
        <w:rPr>
          <w:rFonts w:hint="default" w:ascii="Times New Roman" w:hAnsi="Times New Roman" w:eastAsia="华文中宋" w:cs="Times New Roman"/>
          <w:b/>
          <w:kern w:val="0"/>
          <w:sz w:val="52"/>
          <w:szCs w:val="52"/>
        </w:rPr>
      </w:pPr>
    </w:p>
    <w:p w14:paraId="2210BC7E">
      <w:pPr>
        <w:spacing w:line="540" w:lineRule="exact"/>
        <w:jc w:val="center"/>
        <w:rPr>
          <w:rFonts w:hint="default" w:ascii="Times New Roman" w:hAnsi="Times New Roman" w:eastAsia="华文中宋" w:cs="Times New Roman"/>
          <w:b/>
          <w:kern w:val="0"/>
          <w:sz w:val="52"/>
          <w:szCs w:val="52"/>
        </w:rPr>
      </w:pPr>
    </w:p>
    <w:p w14:paraId="0CD75416">
      <w:pPr>
        <w:spacing w:line="540" w:lineRule="exact"/>
        <w:jc w:val="center"/>
        <w:rPr>
          <w:rFonts w:hint="default" w:ascii="Times New Roman" w:hAnsi="Times New Roman" w:eastAsia="华文中宋" w:cs="Times New Roman"/>
          <w:b/>
          <w:kern w:val="0"/>
          <w:sz w:val="52"/>
          <w:szCs w:val="52"/>
        </w:rPr>
      </w:pPr>
    </w:p>
    <w:p w14:paraId="3A07C1AF">
      <w:pPr>
        <w:spacing w:line="540" w:lineRule="exact"/>
        <w:jc w:val="center"/>
        <w:rPr>
          <w:rFonts w:hint="default" w:ascii="Times New Roman" w:hAnsi="Times New Roman" w:eastAsia="方正小标宋_GBK" w:cs="Times New Roman"/>
          <w:kern w:val="0"/>
          <w:sz w:val="48"/>
          <w:szCs w:val="48"/>
        </w:rPr>
      </w:pPr>
      <w:r>
        <w:rPr>
          <w:rFonts w:hint="eastAsia" w:eastAsia="方正小标宋_GBK"/>
          <w:kern w:val="0"/>
          <w:sz w:val="48"/>
          <w:szCs w:val="48"/>
        </w:rPr>
        <w:t>自治区工艺美术大师及食品工业企业食品安全培训</w:t>
      </w:r>
      <w:r>
        <w:rPr>
          <w:rFonts w:hint="default" w:ascii="Times New Roman" w:hAnsi="Times New Roman" w:eastAsia="方正小标宋_GBK" w:cs="Times New Roman"/>
          <w:kern w:val="0"/>
          <w:sz w:val="48"/>
          <w:szCs w:val="48"/>
        </w:rPr>
        <w:t>项目支出绩效评价</w:t>
      </w:r>
    </w:p>
    <w:p w14:paraId="37BF9BA9">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753653D7">
      <w:pPr>
        <w:spacing w:line="540" w:lineRule="exact"/>
        <w:jc w:val="center"/>
        <w:rPr>
          <w:rFonts w:hint="default" w:ascii="Times New Roman" w:hAnsi="Times New Roman" w:eastAsia="华文中宋" w:cs="Times New Roman"/>
          <w:b/>
          <w:kern w:val="0"/>
          <w:sz w:val="52"/>
          <w:szCs w:val="52"/>
        </w:rPr>
      </w:pPr>
    </w:p>
    <w:p w14:paraId="1613D067">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18047BFB">
      <w:pPr>
        <w:spacing w:line="540" w:lineRule="exact"/>
        <w:jc w:val="center"/>
        <w:rPr>
          <w:rFonts w:hint="default" w:ascii="Times New Roman" w:hAnsi="Times New Roman" w:eastAsia="仿宋_GB2312" w:cs="Times New Roman"/>
          <w:kern w:val="0"/>
          <w:sz w:val="30"/>
          <w:szCs w:val="30"/>
        </w:rPr>
      </w:pPr>
    </w:p>
    <w:p w14:paraId="40F8BB28">
      <w:pPr>
        <w:spacing w:line="540" w:lineRule="exact"/>
        <w:jc w:val="center"/>
        <w:rPr>
          <w:rFonts w:hint="default" w:ascii="Times New Roman" w:hAnsi="Times New Roman" w:eastAsia="仿宋_GB2312" w:cs="Times New Roman"/>
          <w:kern w:val="0"/>
          <w:sz w:val="30"/>
          <w:szCs w:val="30"/>
        </w:rPr>
      </w:pPr>
    </w:p>
    <w:p w14:paraId="4749BA71">
      <w:pPr>
        <w:spacing w:line="540" w:lineRule="exact"/>
        <w:jc w:val="center"/>
        <w:rPr>
          <w:rFonts w:hint="default" w:ascii="Times New Roman" w:hAnsi="Times New Roman" w:eastAsia="仿宋_GB2312" w:cs="Times New Roman"/>
          <w:kern w:val="0"/>
          <w:sz w:val="30"/>
          <w:szCs w:val="30"/>
        </w:rPr>
      </w:pPr>
    </w:p>
    <w:p w14:paraId="00DC51C8">
      <w:pPr>
        <w:pStyle w:val="2"/>
        <w:rPr>
          <w:rFonts w:hint="default" w:ascii="Times New Roman" w:hAnsi="Times New Roman" w:cs="Times New Roman"/>
        </w:rPr>
      </w:pPr>
    </w:p>
    <w:p w14:paraId="0E21000D">
      <w:pPr>
        <w:spacing w:line="540" w:lineRule="exact"/>
        <w:jc w:val="center"/>
        <w:rPr>
          <w:rFonts w:hint="default" w:ascii="Times New Roman" w:hAnsi="Times New Roman" w:eastAsia="仿宋_GB2312" w:cs="Times New Roman"/>
          <w:kern w:val="0"/>
          <w:sz w:val="30"/>
          <w:szCs w:val="30"/>
        </w:rPr>
      </w:pPr>
    </w:p>
    <w:p w14:paraId="3D39C725">
      <w:pPr>
        <w:spacing w:line="540" w:lineRule="exact"/>
        <w:rPr>
          <w:rFonts w:hint="default" w:ascii="Times New Roman" w:hAnsi="Times New Roman" w:eastAsia="仿宋_GB2312" w:cs="Times New Roman"/>
          <w:kern w:val="0"/>
          <w:sz w:val="30"/>
          <w:szCs w:val="30"/>
        </w:rPr>
      </w:pPr>
    </w:p>
    <w:p w14:paraId="7FFC3768">
      <w:pPr>
        <w:spacing w:line="700" w:lineRule="exact"/>
        <w:ind w:left="3236" w:leftChars="684" w:hanging="1800" w:hangingChars="500"/>
        <w:jc w:val="left"/>
        <w:rPr>
          <w:rFonts w:hint="eastAsia" w:eastAsia="仿宋_GB2312"/>
          <w:kern w:val="0"/>
          <w:sz w:val="36"/>
          <w:szCs w:val="36"/>
        </w:rPr>
      </w:pPr>
      <w:r>
        <w:rPr>
          <w:rFonts w:hint="default" w:ascii="Times New Roman" w:hAnsi="Times New Roman" w:eastAsia="仿宋_GB2312" w:cs="Times New Roman"/>
          <w:kern w:val="0"/>
          <w:sz w:val="36"/>
          <w:szCs w:val="36"/>
        </w:rPr>
        <w:t>项目名称：</w:t>
      </w:r>
      <w:r>
        <w:rPr>
          <w:rFonts w:hint="eastAsia" w:eastAsia="仿宋_GB2312"/>
          <w:kern w:val="0"/>
          <w:sz w:val="36"/>
          <w:szCs w:val="36"/>
        </w:rPr>
        <w:t>自治区工艺美术大师及食品工业</w:t>
      </w:r>
    </w:p>
    <w:p w14:paraId="120E4979">
      <w:pPr>
        <w:spacing w:line="700" w:lineRule="exact"/>
        <w:ind w:left="3232" w:leftChars="1539" w:firstLine="0" w:firstLineChars="0"/>
        <w:jc w:val="left"/>
        <w:rPr>
          <w:rFonts w:hint="default" w:ascii="Times New Roman" w:hAnsi="Times New Roman" w:eastAsia="仿宋_GB2312" w:cs="Times New Roman"/>
          <w:kern w:val="0"/>
          <w:sz w:val="36"/>
          <w:szCs w:val="36"/>
        </w:rPr>
      </w:pPr>
      <w:r>
        <w:rPr>
          <w:rFonts w:hint="eastAsia" w:eastAsia="仿宋_GB2312"/>
          <w:kern w:val="0"/>
          <w:sz w:val="36"/>
          <w:szCs w:val="36"/>
        </w:rPr>
        <w:t>企业食品安全培训项目</w:t>
      </w:r>
    </w:p>
    <w:p w14:paraId="2B424762">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轻工业行业管理处</w:t>
      </w:r>
    </w:p>
    <w:p w14:paraId="43E4705B">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张百武</w:t>
      </w:r>
    </w:p>
    <w:p w14:paraId="10F7F6F1">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21</w:t>
      </w:r>
      <w:r>
        <w:rPr>
          <w:rFonts w:hint="default" w:ascii="Times New Roman" w:hAnsi="Times New Roman" w:eastAsia="仿宋_GB2312" w:cs="Times New Roman"/>
          <w:kern w:val="0"/>
          <w:sz w:val="36"/>
          <w:szCs w:val="36"/>
        </w:rPr>
        <w:t>日</w:t>
      </w:r>
    </w:p>
    <w:p w14:paraId="16C83DFD">
      <w:pPr>
        <w:spacing w:line="540" w:lineRule="exact"/>
        <w:jc w:val="center"/>
        <w:rPr>
          <w:rFonts w:hint="default" w:ascii="Times New Roman" w:hAnsi="Times New Roman" w:eastAsia="仿宋_GB2312" w:cs="Times New Roman"/>
          <w:kern w:val="0"/>
          <w:sz w:val="30"/>
          <w:szCs w:val="30"/>
        </w:rPr>
      </w:pPr>
    </w:p>
    <w:p w14:paraId="67BFD4D0">
      <w:pPr>
        <w:spacing w:line="540" w:lineRule="exact"/>
        <w:rPr>
          <w:rStyle w:val="16"/>
          <w:rFonts w:hint="default" w:ascii="Times New Roman" w:hAnsi="Times New Roman" w:eastAsia="黑体" w:cs="Times New Roman"/>
          <w:b w:val="0"/>
          <w:spacing w:val="-4"/>
          <w:sz w:val="32"/>
          <w:szCs w:val="32"/>
        </w:rPr>
      </w:pPr>
    </w:p>
    <w:p w14:paraId="30D60D43">
      <w:pPr>
        <w:spacing w:line="540" w:lineRule="exact"/>
        <w:ind w:firstLine="640"/>
        <w:rPr>
          <w:rStyle w:val="16"/>
          <w:rFonts w:hint="default" w:ascii="Times New Roman" w:hAnsi="Times New Roman" w:eastAsia="黑体" w:cs="Times New Roman"/>
          <w:b w:val="0"/>
          <w:spacing w:val="-4"/>
          <w:sz w:val="32"/>
          <w:szCs w:val="32"/>
        </w:rPr>
      </w:pPr>
    </w:p>
    <w:p w14:paraId="11827F10">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DE3092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14EEC63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0AF9180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01746C8F">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贯彻《传统工艺美术保护条例》《关于推动传统工艺高质</w:t>
      </w:r>
    </w:p>
    <w:p w14:paraId="0E3858F4">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仿宋_GB2312" w:cs="Times New Roman"/>
          <w:b w:val="0"/>
          <w:bCs w:val="0"/>
          <w:kern w:val="2"/>
          <w:highlight w:val="none"/>
          <w:lang w:val="en-US" w:eastAsia="zh-CN"/>
        </w:rPr>
      </w:pPr>
      <w:r>
        <w:rPr>
          <w:rFonts w:hint="default" w:ascii="Times New Roman" w:hAnsi="Times New Roman" w:eastAsia="仿宋_GB2312" w:cs="Times New Roman"/>
          <w:b w:val="0"/>
          <w:bCs w:val="0"/>
          <w:kern w:val="2"/>
          <w:highlight w:val="none"/>
          <w:lang w:val="en-US" w:eastAsia="zh-CN"/>
        </w:rPr>
        <w:t>量传承发展的通知》及《关于促进民族手工业融合创新发展的指导意见》等文件精神，贯彻落实自治区党委、政府关于食品安全工作安排部署和自治区食安委第十一次全体会议精神，助力培养更多具有创造性转化与创新性发展思维的新时代工艺美术专业技术人才，提升食品工业企业的食品安全意识和质量管理水平，推动企业诚信发展，组织开展自治区工艺美术大师及食品工业企业食品安全培训。</w:t>
      </w:r>
    </w:p>
    <w:p w14:paraId="3058905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p>
    <w:p w14:paraId="2DDE4A9A">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项目主要内容：对自治区工艺美术大师</w:t>
      </w:r>
      <w:r>
        <w:rPr>
          <w:rFonts w:hint="eastAsia" w:eastAsia="仿宋_GB2312" w:cs="Times New Roman"/>
          <w:sz w:val="30"/>
          <w:szCs w:val="30"/>
          <w:highlight w:val="none"/>
          <w:lang w:val="en-US" w:eastAsia="zh-CN"/>
        </w:rPr>
        <w:t>、工艺美术行业从业者及行业管理者（100人）</w:t>
      </w:r>
      <w:r>
        <w:rPr>
          <w:rFonts w:hint="default" w:ascii="Times New Roman" w:hAnsi="Times New Roman" w:eastAsia="仿宋_GB2312" w:cs="Times New Roman"/>
          <w:sz w:val="30"/>
          <w:szCs w:val="30"/>
          <w:highlight w:val="none"/>
          <w:lang w:val="en-US" w:eastAsia="zh-CN"/>
        </w:rPr>
        <w:t>开展工艺美术培训；对自治区食品工业企业</w:t>
      </w:r>
      <w:r>
        <w:rPr>
          <w:rFonts w:hint="eastAsia" w:eastAsia="仿宋_GB2312" w:cs="Times New Roman"/>
          <w:sz w:val="30"/>
          <w:szCs w:val="30"/>
          <w:highlight w:val="none"/>
          <w:lang w:val="en-US" w:eastAsia="zh-CN"/>
        </w:rPr>
        <w:t>及食品安全管理者（100人）</w:t>
      </w:r>
      <w:r>
        <w:rPr>
          <w:rFonts w:hint="default" w:ascii="Times New Roman" w:hAnsi="Times New Roman" w:eastAsia="仿宋_GB2312" w:cs="Times New Roman"/>
          <w:sz w:val="30"/>
          <w:szCs w:val="30"/>
          <w:highlight w:val="none"/>
          <w:lang w:val="en-US" w:eastAsia="zh-CN"/>
        </w:rPr>
        <w:t>开展食品安全培训。</w:t>
      </w:r>
    </w:p>
    <w:p w14:paraId="1C23509C">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highlight w:val="none"/>
        </w:rPr>
        <w:t>：</w:t>
      </w:r>
      <w:r>
        <w:rPr>
          <w:rFonts w:eastAsia="仿宋_GB2312"/>
          <w:sz w:val="32"/>
          <w:szCs w:val="32"/>
          <w:highlight w:val="none"/>
        </w:rPr>
        <w:t>项目目前已经完成实际设立的目标，项目在实施过程中严格按照目标设立的各阶段任务进行开展工作。</w:t>
      </w:r>
    </w:p>
    <w:p w14:paraId="26E8A77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46A73679">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1F834351">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54BE9811">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ECBF896">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53.3648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97</w:t>
      </w:r>
      <w:r>
        <w:rPr>
          <w:rFonts w:hint="default" w:ascii="Times New Roman" w:hAnsi="Times New Roman" w:eastAsia="仿宋_GB2312" w:cs="Times New Roman"/>
          <w:sz w:val="32"/>
          <w:szCs w:val="32"/>
          <w:highlight w:val="none"/>
          <w:lang w:val="en-US" w:eastAsia="zh-CN"/>
        </w:rPr>
        <w:t>%，主要用于：支付项目实施进程中的各项费用。</w:t>
      </w:r>
    </w:p>
    <w:p w14:paraId="4E33F71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5D27F97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462FCAF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一是</w:t>
      </w:r>
      <w:r>
        <w:rPr>
          <w:rFonts w:hint="default" w:ascii="Times New Roman" w:hAnsi="Times New Roman" w:eastAsia="仿宋_GB2312" w:cs="Times New Roman"/>
          <w:sz w:val="32"/>
          <w:szCs w:val="32"/>
          <w:highlight w:val="none"/>
        </w:rPr>
        <w:t>贯彻落实自治区关于食品安全工作安排部署，贯彻落实《自治区食品安全宣传措施清单》《关于食品工业企业诚信体系建设工作指导意见》，开展年度食品工业企业食品安全培训。</w:t>
      </w:r>
      <w:r>
        <w:rPr>
          <w:rFonts w:hint="eastAsia" w:eastAsia="仿宋_GB2312" w:cs="Times New Roman"/>
          <w:sz w:val="32"/>
          <w:szCs w:val="32"/>
          <w:highlight w:val="none"/>
          <w:lang w:eastAsia="zh-CN"/>
        </w:rPr>
        <w:t>二是</w:t>
      </w:r>
      <w:r>
        <w:rPr>
          <w:rFonts w:hint="default" w:ascii="Times New Roman" w:hAnsi="Times New Roman" w:eastAsia="仿宋_GB2312" w:cs="Times New Roman"/>
          <w:sz w:val="32"/>
          <w:szCs w:val="32"/>
          <w:highlight w:val="none"/>
        </w:rPr>
        <w:t>贯彻《传统工艺美术保护条例》，开展工艺美术大师评审、培训等活动，推动工艺美术行业繁荣和发展。</w:t>
      </w:r>
    </w:p>
    <w:p w14:paraId="5F370F2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3DA7B30A">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0D28B9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14:paraId="7C0CBB4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76F22E5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7AC3DCE0">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78C225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47DAE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p>
    <w:p w14:paraId="7E931F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0C71A5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278F4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通过对项目预算执行情况及各项绩效目标达成程度的系统性分析，全面、客观地评估项目在预定周期内的实施效果，为项目后续的改进与优化提供科学依据。</w:t>
      </w:r>
    </w:p>
    <w:p w14:paraId="5F5053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p>
    <w:p w14:paraId="25DC24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围绕</w:t>
      </w:r>
      <w:r>
        <w:rPr>
          <w:rFonts w:hint="default" w:ascii="Times New Roman" w:hAnsi="Times New Roman" w:eastAsia="仿宋_GB2312" w:cs="Times New Roman"/>
          <w:sz w:val="32"/>
          <w:szCs w:val="32"/>
          <w:highlight w:val="none"/>
        </w:rPr>
        <w:t>项目各参与主体在预算绩效管理中的职责与任务，主动优化管理流程，完善内部控制机制，提高项目管理水平与执行力，保障项目按计划、高质量推进。</w:t>
      </w:r>
    </w:p>
    <w:p w14:paraId="66FC0D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w:t>
      </w:r>
    </w:p>
    <w:p w14:paraId="0CF72F0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70CE86E4">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u w:val="none"/>
        </w:rPr>
      </w:pPr>
      <w:r>
        <w:rPr>
          <w:rFonts w:hint="default" w:ascii="Times New Roman" w:hAnsi="Times New Roman" w:eastAsia="仿宋_GB2312" w:cs="Times New Roman"/>
          <w:b w:val="0"/>
          <w:bCs w:val="0"/>
          <w:highlight w:val="none"/>
          <w:u w:val="none"/>
        </w:rPr>
        <w:t>本项目预算绩效评价报告的评价对象是自治区工艺美术大师及食品工业企业食品安全培训项目及其预算执行情况。该项目由</w:t>
      </w:r>
      <w:r>
        <w:rPr>
          <w:rFonts w:hint="eastAsia" w:ascii="Times New Roman" w:hAnsi="Times New Roman" w:eastAsia="仿宋_GB2312" w:cs="Times New Roman"/>
          <w:b w:val="0"/>
          <w:bCs w:val="0"/>
          <w:highlight w:val="none"/>
          <w:u w:val="none"/>
          <w:lang w:eastAsia="zh-CN"/>
        </w:rPr>
        <w:t>轻工业行业管理处</w:t>
      </w:r>
      <w:r>
        <w:rPr>
          <w:rFonts w:hint="default" w:ascii="Times New Roman" w:hAnsi="Times New Roman" w:eastAsia="仿宋_GB2312" w:cs="Times New Roman"/>
          <w:b w:val="0"/>
          <w:bCs w:val="0"/>
          <w:highlight w:val="none"/>
          <w:u w:val="none"/>
        </w:rPr>
        <w:t>负责实施，旨在有效推动全区食品工业健康发展</w:t>
      </w:r>
      <w:r>
        <w:rPr>
          <w:rFonts w:hint="eastAsia" w:ascii="Times New Roman" w:hAnsi="Times New Roman" w:eastAsia="仿宋_GB2312" w:cs="Times New Roman"/>
          <w:b w:val="0"/>
          <w:bCs w:val="0"/>
          <w:highlight w:val="none"/>
          <w:u w:val="none"/>
          <w:lang w:eastAsia="zh-CN"/>
        </w:rPr>
        <w:t>，</w:t>
      </w:r>
      <w:r>
        <w:rPr>
          <w:rFonts w:hint="default" w:ascii="Times New Roman" w:hAnsi="Times New Roman" w:eastAsia="仿宋_GB2312" w:cs="Times New Roman"/>
          <w:b w:val="0"/>
          <w:bCs w:val="0"/>
          <w:highlight w:val="none"/>
          <w:u w:val="none"/>
        </w:rPr>
        <w:t>长期推动全区工艺美术行业繁荣和发展。项目预算涵盖从</w:t>
      </w:r>
      <w:r>
        <w:rPr>
          <w:rFonts w:hint="eastAsia" w:ascii="Times New Roman" w:hAnsi="Times New Roman" w:eastAsia="仿宋_GB2312" w:cs="Times New Roman"/>
          <w:b w:val="0"/>
          <w:bCs w:val="0"/>
          <w:highlight w:val="none"/>
          <w:u w:val="none"/>
          <w:lang w:val="en-US" w:eastAsia="zh-CN"/>
        </w:rPr>
        <w:t>2024年8月9日</w:t>
      </w:r>
      <w:r>
        <w:rPr>
          <w:rFonts w:hint="default" w:ascii="Times New Roman" w:hAnsi="Times New Roman" w:eastAsia="仿宋_GB2312" w:cs="Times New Roman"/>
          <w:b w:val="0"/>
          <w:bCs w:val="0"/>
          <w:highlight w:val="none"/>
          <w:u w:val="none"/>
        </w:rPr>
        <w:t>至</w:t>
      </w:r>
      <w:r>
        <w:rPr>
          <w:rFonts w:hint="eastAsia" w:ascii="Times New Roman" w:hAnsi="Times New Roman" w:eastAsia="仿宋_GB2312" w:cs="Times New Roman"/>
          <w:b w:val="0"/>
          <w:bCs w:val="0"/>
          <w:highlight w:val="none"/>
          <w:u w:val="none"/>
          <w:lang w:val="en-US" w:eastAsia="zh-CN"/>
        </w:rPr>
        <w:t>2024年12月9日</w:t>
      </w:r>
      <w:r>
        <w:rPr>
          <w:rFonts w:hint="default" w:ascii="Times New Roman" w:hAnsi="Times New Roman" w:eastAsia="仿宋_GB2312" w:cs="Times New Roman"/>
          <w:b w:val="0"/>
          <w:bCs w:val="0"/>
          <w:highlight w:val="none"/>
          <w:u w:val="none"/>
        </w:rPr>
        <w:t>的全部资金投入与支出，涉及资金总额为</w:t>
      </w:r>
      <w:r>
        <w:rPr>
          <w:rFonts w:hint="eastAsia" w:ascii="Times New Roman" w:hAnsi="Times New Roman" w:eastAsia="仿宋_GB2312" w:cs="Times New Roman"/>
          <w:b w:val="0"/>
          <w:bCs w:val="0"/>
          <w:highlight w:val="none"/>
          <w:u w:val="none"/>
          <w:lang w:val="en-US" w:eastAsia="zh-CN"/>
        </w:rPr>
        <w:t>55</w:t>
      </w:r>
      <w:r>
        <w:rPr>
          <w:rFonts w:hint="default" w:ascii="Times New Roman" w:hAnsi="Times New Roman" w:eastAsia="仿宋_GB2312" w:cs="Times New Roman"/>
          <w:b w:val="0"/>
          <w:bCs w:val="0"/>
          <w:highlight w:val="none"/>
          <w:u w:val="none"/>
          <w:lang w:val="en-US" w:eastAsia="zh-CN"/>
        </w:rPr>
        <w:t>万</w:t>
      </w:r>
      <w:r>
        <w:rPr>
          <w:rFonts w:hint="default" w:ascii="Times New Roman" w:hAnsi="Times New Roman" w:eastAsia="仿宋_GB2312" w:cs="Times New Roman"/>
          <w:b w:val="0"/>
          <w:bCs w:val="0"/>
          <w:highlight w:val="none"/>
          <w:u w:val="none"/>
        </w:rPr>
        <w:t>元。</w:t>
      </w:r>
    </w:p>
    <w:p w14:paraId="06F9FCED">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0D921894">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F90039B">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6D1BB39">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795FFC95">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07121B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38B848D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682DECA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6E3B4FB0">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556E428F">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rPr>
        <w:t>）公开透明。绩效评价结果应依法依规公开，并自觉接受社会监督。</w:t>
      </w:r>
    </w:p>
    <w:p w14:paraId="6EA7A2E2">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5B42C58D">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8571C7E">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63AC1C7B">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686594B">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7DAD3AD0">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CEB2B41">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561B4D6">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55E60EA">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75B585E7">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1B7B8A3D">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4C30C44A">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E9223A0">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1B839FE">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5EC8D5CF">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76F47D08">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2A9E5824">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四</w:t>
      </w:r>
      <w:r>
        <w:rPr>
          <w:rFonts w:hint="default" w:ascii="Times New Roman" w:hAnsi="Times New Roman" w:eastAsia="仿宋_GB2312" w:cs="Times New Roman"/>
          <w:color w:val="000000"/>
          <w:spacing w:val="17"/>
          <w:sz w:val="32"/>
          <w:szCs w:val="32"/>
          <w:highlight w:val="none"/>
        </w:rPr>
        <w:t>）其他评价方法。</w:t>
      </w:r>
    </w:p>
    <w:p w14:paraId="6993E54F">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5F9D316F">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6C14E0BC">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5A8469A0">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711" w:firstLineChars="200"/>
        <w:jc w:val="both"/>
        <w:textAlignment w:val="auto"/>
        <w:rPr>
          <w:rFonts w:hint="default" w:ascii="Times New Roman" w:hAnsi="Times New Roman" w:eastAsia="楷体" w:cs="Times New Roman"/>
          <w:color w:val="000000"/>
          <w:spacing w:val="17"/>
          <w:highlight w:val="none"/>
        </w:rPr>
      </w:pPr>
      <w:r>
        <w:rPr>
          <w:rFonts w:hint="eastAsia" w:ascii="Times New Roman" w:hAnsi="Times New Roman" w:eastAsia="楷体" w:cs="Times New Roman"/>
          <w:color w:val="000000"/>
          <w:spacing w:val="17"/>
          <w:highlight w:val="none"/>
          <w:lang w:eastAsia="zh-CN"/>
        </w:rPr>
        <w:t>（三）</w:t>
      </w:r>
      <w:r>
        <w:rPr>
          <w:rFonts w:hint="default" w:ascii="Times New Roman" w:hAnsi="Times New Roman" w:eastAsia="楷体" w:cs="Times New Roman"/>
          <w:color w:val="000000"/>
          <w:spacing w:val="17"/>
          <w:highlight w:val="none"/>
        </w:rPr>
        <w:t>绩效评价工作过程</w:t>
      </w:r>
    </w:p>
    <w:p w14:paraId="50A0CF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02E12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确保从多角度、全方位对项目绩效进行评价。同时，明确了评价工作的目标、范围、重点及时间安排，制定了详细的工作计划，为评价工作的顺利开展奠定了坚实基础。</w:t>
      </w:r>
    </w:p>
    <w:p w14:paraId="5A30B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B0027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C4645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E58D2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在数据收集过程中，注重数据的质量与完整性，对缺失或异常的数据进行了合理的处理和补充。随后，对收集到的数据进行了系统的整理与分类，为后续的数据分析提供了有力支持。</w:t>
      </w:r>
    </w:p>
    <w:p w14:paraId="2434FA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84EA7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EAF86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03B17D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w:t>
      </w:r>
    </w:p>
    <w:p w14:paraId="6A021102">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51AD2B3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5FDCC05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b w:val="0"/>
          <w:bCs w:val="0"/>
          <w:sz w:val="32"/>
          <w:szCs w:val="32"/>
          <w:highlight w:val="none"/>
        </w:rPr>
        <w:t>自治区工艺美术大师及食品工业企业食品安全培训项目</w:t>
      </w:r>
      <w:r>
        <w:rPr>
          <w:rFonts w:hint="default" w:ascii="Times New Roman" w:hAnsi="Times New Roman" w:eastAsia="仿宋_GB2312" w:cs="Times New Roman"/>
          <w:sz w:val="32"/>
          <w:szCs w:val="32"/>
          <w:highlight w:val="none"/>
        </w:rPr>
        <w:t>达到了预期的标准与要求。</w:t>
      </w:r>
    </w:p>
    <w:p w14:paraId="4E8DA19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轻工业行业管理处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通过有效的规划、组织与协调，项目得以顺利实施，并在预算与时间上保持了良好的控制。从项目效益的角度来看，本项目推动全区工艺美术行业繁荣和发展</w:t>
      </w:r>
      <w:r>
        <w:rPr>
          <w:rFonts w:hint="eastAsia" w:eastAsia="仿宋_GB2312" w:cs="Times New Roman"/>
          <w:sz w:val="32"/>
          <w:szCs w:val="32"/>
          <w:highlight w:val="none"/>
          <w:lang w:eastAsia="zh-CN"/>
        </w:rPr>
        <w:t>和推动全区食品工业健康发展</w:t>
      </w:r>
      <w:r>
        <w:rPr>
          <w:rFonts w:hint="default" w:ascii="Times New Roman" w:hAnsi="Times New Roman" w:eastAsia="仿宋_GB2312" w:cs="Times New Roman"/>
          <w:sz w:val="32"/>
          <w:szCs w:val="32"/>
          <w:highlight w:val="none"/>
        </w:rPr>
        <w:t>等方面的提升，为项目的相关者带来了实实在在的</w:t>
      </w:r>
      <w:r>
        <w:rPr>
          <w:rFonts w:hint="eastAsia" w:eastAsia="仿宋_GB2312" w:cs="Times New Roman"/>
          <w:sz w:val="32"/>
          <w:szCs w:val="32"/>
          <w:highlight w:val="none"/>
          <w:lang w:eastAsia="zh-CN"/>
        </w:rPr>
        <w:t>成效</w:t>
      </w:r>
      <w:r>
        <w:rPr>
          <w:rFonts w:hint="default" w:ascii="Times New Roman" w:hAnsi="Times New Roman" w:eastAsia="仿宋_GB2312" w:cs="Times New Roman"/>
          <w:sz w:val="32"/>
          <w:szCs w:val="32"/>
          <w:highlight w:val="none"/>
        </w:rPr>
        <w:t>。</w:t>
      </w:r>
    </w:p>
    <w:p w14:paraId="23C415C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b w:val="0"/>
          <w:bCs w:val="0"/>
          <w:sz w:val="32"/>
          <w:szCs w:val="32"/>
          <w:highlight w:val="none"/>
        </w:rPr>
        <w:t>自治区工艺美术大师及食品工业企业食品安全培训项目</w:t>
      </w:r>
      <w:r>
        <w:rPr>
          <w:rFonts w:hint="default" w:ascii="Times New Roman" w:hAnsi="Times New Roman" w:eastAsia="仿宋_GB2312" w:cs="Times New Roman"/>
          <w:sz w:val="32"/>
          <w:szCs w:val="32"/>
          <w:highlight w:val="none"/>
        </w:rPr>
        <w:t>在绩效评价中表现出色，达到了项目的预期目标。</w:t>
      </w:r>
    </w:p>
    <w:p w14:paraId="62CE7B04">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6926B2C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43723F3F">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13F0ECFF">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7B1313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FEB6AB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3E5A39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01691FD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3DC723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6A31461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59D4B4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4C16566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578633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593FA26A">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FF7665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42C0617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446AE0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F662F1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FE4E48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5DA7FB4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EECB1A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13DF8A8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D855BE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9CA7ED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F64253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1614DB8">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D3954ED">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6CB02BD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2BFF6263">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4BC9FFF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BCB730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30BE19B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2F9995D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该项目立项符合国家相关法律法规及发展政策，围绕本年度工作重点和工作计划制定经费预算，本项目与部门内部其他相关项目不重复。</w:t>
      </w:r>
    </w:p>
    <w:p w14:paraId="0505D43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6896929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14:paraId="0C157A5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67BFDA9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6683D37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对项目任务进行了详细分解。项目预期产出效益及效果符合正常的业绩水平。</w:t>
      </w:r>
    </w:p>
    <w:p w14:paraId="6CB1386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51FD173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0D0FC44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276BA88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199215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B1B654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注重了成本控制与效益最大化的原则。通过优化资源配置、提高资金使用效率等措施，确保项目在有限的预算内取得最大的社会效益。</w:t>
      </w:r>
    </w:p>
    <w:p w14:paraId="5289D26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CC706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51CED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2DC3A66">
      <w:pPr>
        <w:pStyle w:val="2"/>
        <w:pageBreakBefore w:val="0"/>
        <w:numPr>
          <w:ilvl w:val="0"/>
          <w:numId w:val="3"/>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0AE20BF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bookmarkStart w:id="4" w:name="_GoBack"/>
      <w:bookmarkEnd w:id="4"/>
    </w:p>
    <w:p w14:paraId="7E7C7AE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1171D1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37E4419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11D2AD4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6452054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预算编制较为详细，项目资金支出总体能够按照预算执行，预算资金支出53.3648万元，预算执行率为97%。</w:t>
      </w:r>
    </w:p>
    <w:p w14:paraId="4B0DBE2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D3DFE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w:t>
      </w:r>
      <w:r>
        <w:rPr>
          <w:rFonts w:hint="eastAsia" w:eastAsia="仿宋_GB2312" w:cs="Times New Roman"/>
          <w:sz w:val="32"/>
          <w:szCs w:val="32"/>
          <w:highlight w:val="none"/>
          <w:lang w:eastAsia="zh-CN"/>
        </w:rPr>
        <w:t>遵循</w:t>
      </w:r>
      <w:r>
        <w:rPr>
          <w:rFonts w:hint="default" w:ascii="Times New Roman" w:hAnsi="Times New Roman" w:eastAsia="仿宋_GB2312" w:cs="Times New Roman"/>
          <w:sz w:val="32"/>
          <w:szCs w:val="32"/>
          <w:highlight w:val="none"/>
          <w:lang w:eastAsia="zh-CN"/>
        </w:rPr>
        <w:t>财务管理体系，对资金的流动进行了全程监控与记录。具体而言，资金使用坚持了专款专用的原则，确保了项目资金不被挪用或截留。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17A902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68EE93F4">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textAlignment w:val="auto"/>
        <w:rPr>
          <w:rFonts w:ascii="Times New Roman" w:hAnsi="Times New Roman" w:eastAsia="仿宋_GB2312"/>
          <w:b w:val="0"/>
          <w:bCs w:val="0"/>
          <w:kern w:val="2"/>
          <w:highlight w:val="none"/>
        </w:rPr>
      </w:pPr>
      <w:r>
        <w:rPr>
          <w:rFonts w:hint="eastAsia" w:eastAsia="仿宋_GB2312"/>
          <w:b w:val="0"/>
          <w:bCs w:val="0"/>
          <w:sz w:val="32"/>
          <w:szCs w:val="32"/>
          <w:highlight w:val="none"/>
          <w:lang w:eastAsia="zh-CN"/>
        </w:rPr>
        <w:t>项目执行严格按照政府采购相关规定进行，执行预算资金，严格按照项目实际，及时对接中标方，为自治区工艺美术大师及食品工业企业做好项目服务。同时，加快预算执行，提升培训质量。</w:t>
      </w:r>
    </w:p>
    <w:p w14:paraId="7123CC15">
      <w:pPr>
        <w:pStyle w:val="12"/>
        <w:pageBreakBefore w:val="0"/>
        <w:numPr>
          <w:ilvl w:val="0"/>
          <w:numId w:val="3"/>
        </w:numPr>
        <w:kinsoku/>
        <w:wordWrap/>
        <w:overflowPunct/>
        <w:topLinePunct w:val="0"/>
        <w:autoSpaceDE/>
        <w:autoSpaceDN/>
        <w:bidi w:val="0"/>
        <w:adjustRightInd/>
        <w:snapToGrid/>
        <w:spacing w:after="0" w:line="560" w:lineRule="exact"/>
        <w:ind w:firstLine="643"/>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7F27905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1EEC99A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5B52AC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指标1：自治区工艺美术大师培训人数，指标值：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40人</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50人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125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在项目实施过程中，企业及个人反馈参训意愿强，考虑到自治区工艺美术大师及食品工业企业食品安全培训项目是自治区新设项目，因此在制定课程时，严格控制项目预算，缩短了培训课时，增加了参训人数。</w:t>
      </w:r>
    </w:p>
    <w:p w14:paraId="53DA8D9B">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highlight w:val="none"/>
          <w:lang w:val="en-US" w:eastAsia="zh-CN"/>
        </w:rPr>
      </w:pPr>
      <w:r>
        <w:rPr>
          <w:rFonts w:hint="default" w:ascii="Times New Roman" w:hAnsi="Times New Roman" w:eastAsia="仿宋_GB2312" w:cs="Times New Roman"/>
          <w:b w:val="0"/>
          <w:bCs w:val="0"/>
          <w:sz w:val="32"/>
          <w:szCs w:val="32"/>
          <w:highlight w:val="none"/>
        </w:rPr>
        <w:t>指标</w:t>
      </w:r>
      <w:r>
        <w:rPr>
          <w:rFonts w:hint="eastAsia"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kern w:val="2"/>
          <w:sz w:val="32"/>
          <w:szCs w:val="32"/>
          <w:highlight w:val="none"/>
          <w:lang w:val="en-US" w:eastAsia="zh-CN" w:bidi="ar-SA"/>
        </w:rPr>
        <w:t>自治区食品工业企业食品安全培训人数，指标值：≧40人 ，实际完成值：50人，指标完成率：125%，偏差原因：在项目实施过程中，企业及个人反馈参训意愿强，考虑到自治区工艺美术大师及食品工业企业食品安全培训项目是自治区新设项目，因此在制定课程时，严格控制项目预算，缩短了培训课时，增加了参训人数。</w:t>
      </w:r>
    </w:p>
    <w:p w14:paraId="61CC269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4974FB38">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highlight w:val="none"/>
          <w:lang w:val="en-US" w:eastAsia="zh-CN"/>
        </w:rPr>
      </w:pPr>
      <w:r>
        <w:rPr>
          <w:rFonts w:hint="eastAsia" w:eastAsia="仿宋_GB2312" w:cs="Times New Roman"/>
          <w:b w:val="0"/>
          <w:bCs w:val="0"/>
          <w:sz w:val="32"/>
          <w:szCs w:val="32"/>
          <w:highlight w:val="none"/>
          <w:lang w:val="en-US" w:eastAsia="zh-CN"/>
        </w:rPr>
        <w:t>指标1：自治区工艺美术大师培训出勤率，指标值：</w:t>
      </w:r>
      <w:r>
        <w:rPr>
          <w:rFonts w:hint="eastAsia" w:ascii="宋体" w:hAnsi="宋体" w:eastAsia="宋体" w:cs="宋体"/>
          <w:b w:val="0"/>
          <w:bCs w:val="0"/>
          <w:sz w:val="32"/>
          <w:szCs w:val="32"/>
          <w:highlight w:val="none"/>
          <w:lang w:val="en-US" w:eastAsia="zh-CN"/>
        </w:rPr>
        <w:t>≧</w:t>
      </w:r>
      <w:r>
        <w:rPr>
          <w:rFonts w:hint="eastAsia" w:eastAsia="仿宋_GB2312" w:cs="Times New Roman"/>
          <w:b w:val="0"/>
          <w:bCs w:val="0"/>
          <w:sz w:val="32"/>
          <w:szCs w:val="32"/>
          <w:highlight w:val="none"/>
          <w:lang w:val="en-US" w:eastAsia="zh-CN"/>
        </w:rPr>
        <w:t>95%，实际完成值：97%，指标完成率：102%</w:t>
      </w:r>
      <w:r>
        <w:rPr>
          <w:rFonts w:hint="eastAsia" w:ascii="Times New Roman" w:hAnsi="Times New Roman" w:eastAsia="仿宋_GB2312" w:cs="Times New Roman"/>
          <w:b w:val="0"/>
          <w:bCs w:val="0"/>
          <w:kern w:val="2"/>
          <w:sz w:val="32"/>
          <w:szCs w:val="32"/>
          <w:highlight w:val="none"/>
          <w:lang w:val="en-US" w:eastAsia="zh-CN" w:bidi="ar-SA"/>
        </w:rPr>
        <w:t>。偏差原因：培训过程中严格考勤。</w:t>
      </w:r>
    </w:p>
    <w:p w14:paraId="58AE3199">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b w:val="0"/>
          <w:bCs w:val="0"/>
          <w:sz w:val="32"/>
          <w:szCs w:val="32"/>
          <w:highlight w:val="none"/>
          <w:lang w:val="en-US" w:eastAsia="zh-CN"/>
        </w:rPr>
        <w:t>指标2：自治区食品工业企业食品安全培训出勤率，指标值：</w:t>
      </w:r>
      <w:r>
        <w:rPr>
          <w:rFonts w:hint="eastAsia" w:ascii="宋体" w:hAnsi="宋体" w:eastAsia="宋体" w:cs="宋体"/>
          <w:b w:val="0"/>
          <w:bCs w:val="0"/>
          <w:sz w:val="32"/>
          <w:szCs w:val="32"/>
          <w:highlight w:val="none"/>
          <w:lang w:val="en-US" w:eastAsia="zh-CN"/>
        </w:rPr>
        <w:t>≧</w:t>
      </w:r>
      <w:r>
        <w:rPr>
          <w:rFonts w:hint="eastAsia" w:eastAsia="仿宋_GB2312" w:cs="Times New Roman"/>
          <w:b w:val="0"/>
          <w:bCs w:val="0"/>
          <w:sz w:val="32"/>
          <w:szCs w:val="32"/>
          <w:highlight w:val="none"/>
          <w:lang w:val="en-US" w:eastAsia="zh-CN"/>
        </w:rPr>
        <w:t>95%，实际完成值：97%，指标完成率：102%</w:t>
      </w:r>
      <w:r>
        <w:rPr>
          <w:rFonts w:hint="eastAsia" w:ascii="Times New Roman" w:hAnsi="Times New Roman" w:eastAsia="仿宋_GB2312" w:cs="Times New Roman"/>
          <w:b w:val="0"/>
          <w:bCs w:val="0"/>
          <w:kern w:val="2"/>
          <w:sz w:val="32"/>
          <w:szCs w:val="32"/>
          <w:highlight w:val="none"/>
          <w:lang w:val="en-US" w:eastAsia="zh-CN" w:bidi="ar-SA"/>
        </w:rPr>
        <w:t>。偏差原因：培训过程中严格考勤。</w:t>
      </w:r>
    </w:p>
    <w:p w14:paraId="790ADEF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0F5E827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指标1：自治区工艺美术大师培训按期完成率，指标值：=100%，实际完成值：100%，指标完成率：100%。</w:t>
      </w:r>
    </w:p>
    <w:p w14:paraId="1A8AC05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r>
        <w:rPr>
          <w:rFonts w:hint="eastAsia" w:eastAsia="仿宋_GB2312" w:cs="Times New Roman"/>
          <w:b w:val="0"/>
          <w:bCs w:val="0"/>
          <w:sz w:val="32"/>
          <w:szCs w:val="32"/>
          <w:highlight w:val="none"/>
          <w:lang w:val="en-US" w:eastAsia="zh-CN"/>
        </w:rPr>
        <w:t>自治区食品工业企业食品安全培训人次完成率</w:t>
      </w:r>
      <w:r>
        <w:rPr>
          <w:rFonts w:hint="eastAsia" w:eastAsia="仿宋_GB2312" w:cs="Times New Roman"/>
          <w:sz w:val="32"/>
          <w:szCs w:val="32"/>
          <w:highlight w:val="none"/>
          <w:lang w:val="en-US" w:eastAsia="zh-CN"/>
        </w:rPr>
        <w:t>，指标值：=100%，实际完成值：100%，指标完成率：100%。</w:t>
      </w:r>
    </w:p>
    <w:p w14:paraId="028420E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29248E9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b w:val="0"/>
          <w:bCs w:val="0"/>
          <w:sz w:val="32"/>
          <w:szCs w:val="32"/>
          <w:highlight w:val="none"/>
          <w:lang w:val="en-US" w:eastAsia="zh-CN"/>
        </w:rPr>
      </w:pPr>
      <w:r>
        <w:rPr>
          <w:rFonts w:hint="eastAsia" w:eastAsia="仿宋_GB2312" w:cs="Times New Roman"/>
          <w:sz w:val="32"/>
          <w:szCs w:val="32"/>
          <w:highlight w:val="none"/>
          <w:lang w:val="en-US" w:eastAsia="zh-CN"/>
        </w:rPr>
        <w:t>指标1：自治区工艺美术大师培训支出，指标值：≤30万元，实际完成值：29.7198万元，指标完成率：99%，</w:t>
      </w:r>
      <w:r>
        <w:rPr>
          <w:rFonts w:hint="eastAsia" w:eastAsia="仿宋_GB2312" w:cs="Times New Roman"/>
          <w:b w:val="0"/>
          <w:bCs w:val="0"/>
          <w:sz w:val="32"/>
          <w:szCs w:val="32"/>
          <w:highlight w:val="none"/>
          <w:lang w:val="en-US" w:eastAsia="zh-CN"/>
        </w:rPr>
        <w:t>偏差原因：严格按照政府采购相关规定采购，执行中标价格。</w:t>
      </w:r>
    </w:p>
    <w:p w14:paraId="584B913A">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highlight w:val="none"/>
          <w:lang w:val="en-US" w:eastAsia="zh-CN"/>
        </w:rPr>
      </w:pPr>
      <w:r>
        <w:rPr>
          <w:rFonts w:hint="eastAsia" w:eastAsia="仿宋_GB2312" w:cs="Times New Roman"/>
          <w:b w:val="0"/>
          <w:bCs w:val="0"/>
          <w:sz w:val="32"/>
          <w:szCs w:val="32"/>
          <w:highlight w:val="none"/>
          <w:lang w:val="en-US" w:eastAsia="zh-CN"/>
        </w:rPr>
        <w:t>指标2：自治区食品工业企业食品安全培训支出，指标值：≤25万元，实际完成值：23.645万元，指标完成率：95%，偏差原因：严格按照政府采购相关规定采购，执行中标价格。</w:t>
      </w:r>
    </w:p>
    <w:p w14:paraId="6CBF5D72">
      <w:pPr>
        <w:pStyle w:val="12"/>
        <w:pageBreakBefore w:val="0"/>
        <w:numPr>
          <w:ilvl w:val="0"/>
          <w:numId w:val="3"/>
        </w:numPr>
        <w:kinsoku/>
        <w:wordWrap/>
        <w:overflowPunct/>
        <w:topLinePunct w:val="0"/>
        <w:autoSpaceDE/>
        <w:autoSpaceDN/>
        <w:bidi w:val="0"/>
        <w:adjustRightInd/>
        <w:snapToGrid/>
        <w:spacing w:after="0" w:line="560" w:lineRule="exact"/>
        <w:ind w:firstLine="643"/>
        <w:textAlignment w:val="auto"/>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5151C11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FBF91D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3A59FE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5B137D1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指标1：推动全区工艺美术行业繁荣和发展，指标值：有效推动，指标完成率：有效推动，指标完成率：100%。</w:t>
      </w:r>
    </w:p>
    <w:p w14:paraId="2CDA6B0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指标2：推动全区食品工业健康发展，指标值：有效推动，指标完成率：有效推动，指标完成率：100%。</w:t>
      </w:r>
    </w:p>
    <w:p w14:paraId="42B4901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D12691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指标1：自治区工艺美术大师参加培训人员满意度，指标值：≧95%，指标完成率：95%，指标完成率：100%。</w:t>
      </w:r>
    </w:p>
    <w:p w14:paraId="53ACFD88">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指标2：自治区食品工业企业食品安全培训人员满意度，指标值：≧95%，指标完成率：95%，指标完成率：100%。</w:t>
      </w:r>
    </w:p>
    <w:p w14:paraId="17F5E7A3">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14:paraId="35011846">
      <w:pPr>
        <w:pStyle w:val="19"/>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自治区工艺美术大师及食品工业企业食品安全培训项目</w:t>
      </w:r>
      <w:r>
        <w:rPr>
          <w:rFonts w:hint="eastAsia" w:ascii="仿宋_GB2312" w:hAnsi="仿宋_GB2312" w:eastAsia="仿宋_GB2312" w:cs="仿宋_GB2312"/>
          <w:b w:val="0"/>
          <w:bCs w:val="0"/>
          <w:sz w:val="32"/>
          <w:szCs w:val="32"/>
          <w:highlight w:val="none"/>
        </w:rPr>
        <w:t>年初预算</w:t>
      </w:r>
      <w:r>
        <w:rPr>
          <w:rFonts w:hint="eastAsia" w:ascii="仿宋_GB2312" w:hAnsi="仿宋_GB2312" w:eastAsia="仿宋_GB2312" w:cs="仿宋_GB2312"/>
          <w:b w:val="0"/>
          <w:bCs w:val="0"/>
          <w:sz w:val="32"/>
          <w:szCs w:val="32"/>
          <w:highlight w:val="none"/>
          <w:lang w:val="en-US" w:eastAsia="zh-CN"/>
        </w:rPr>
        <w:t>55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55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53.3648</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97</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104</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eastAsia="zh-CN"/>
        </w:rPr>
        <w:t>：</w:t>
      </w:r>
      <w:r>
        <w:rPr>
          <w:rFonts w:hint="eastAsia" w:ascii="Times New Roman" w:hAnsi="Times New Roman" w:eastAsia="仿宋_GB2312" w:cs="Times New Roman"/>
          <w:b w:val="0"/>
          <w:bCs w:val="0"/>
          <w:kern w:val="2"/>
          <w:sz w:val="32"/>
          <w:szCs w:val="32"/>
          <w:highlight w:val="none"/>
          <w:lang w:val="en-US" w:eastAsia="zh-CN" w:bidi="ar-SA"/>
        </w:rPr>
        <w:t>在项目实施过程中，企业及个人反馈参训意愿强，考虑到自治区工艺美术大师及食品工业企业食品安全培训项目是自治区新设项目，因此在制定课程时，严格控制项目预算，缩短了培训课时，增加了参训人数。</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2025年项目绩效目标设立时将自治区工艺美术大师培训人数定为100人，自治区食品工业企业食品安全培训培训人数定为100人</w:t>
      </w:r>
      <w:r>
        <w:rPr>
          <w:rFonts w:hint="eastAsia" w:ascii="仿宋_GB2312" w:hAnsi="仿宋_GB2312" w:eastAsia="仿宋_GB2312" w:cs="仿宋_GB2312"/>
          <w:b w:val="0"/>
          <w:bCs w:val="0"/>
          <w:sz w:val="32"/>
          <w:szCs w:val="32"/>
          <w:highlight w:val="none"/>
        </w:rPr>
        <w:t>。</w:t>
      </w:r>
    </w:p>
    <w:p w14:paraId="159766B7">
      <w:pPr>
        <w:pageBreakBefore w:val="0"/>
        <w:kinsoku/>
        <w:wordWrap/>
        <w:overflowPunct/>
        <w:topLinePunct w:val="0"/>
        <w:autoSpaceDE/>
        <w:autoSpaceDN/>
        <w:bidi w:val="0"/>
        <w:adjustRightInd/>
        <w:snapToGrid/>
        <w:spacing w:line="560" w:lineRule="exact"/>
        <w:ind w:firstLine="640" w:firstLineChars="200"/>
        <w:textAlignment w:val="auto"/>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37DB4900">
      <w:pPr>
        <w:pageBreakBefore w:val="0"/>
        <w:kinsoku/>
        <w:wordWrap/>
        <w:overflowPunct/>
        <w:topLinePunct w:val="0"/>
        <w:autoSpaceDE/>
        <w:autoSpaceDN/>
        <w:bidi w:val="0"/>
        <w:adjustRightInd/>
        <w:snapToGrid/>
        <w:spacing w:line="560" w:lineRule="exact"/>
        <w:ind w:firstLine="627" w:firstLineChars="200"/>
        <w:textAlignment w:val="auto"/>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4B52D32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严格按照项目管理规范进行，在项目资金使用过程中，严格落实把关，按照项目资金使用范围做好审核工作，让项目资金落于实处。</w:t>
      </w:r>
    </w:p>
    <w:p w14:paraId="49391105">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w:t>
      </w:r>
      <w:r>
        <w:rPr>
          <w:rFonts w:hint="eastAsia" w:ascii="Times New Roman" w:hAnsi="Times New Roman" w:eastAsia="仿宋_GB2312" w:cs="Times New Roman"/>
          <w:b w:val="0"/>
          <w:bCs w:val="0"/>
          <w:kern w:val="2"/>
          <w:highlight w:val="none"/>
          <w:lang w:eastAsia="zh-CN"/>
        </w:rPr>
        <w:t>机关纪委</w:t>
      </w:r>
      <w:r>
        <w:rPr>
          <w:rFonts w:hint="default" w:ascii="Times New Roman" w:hAnsi="Times New Roman" w:eastAsia="仿宋_GB2312" w:cs="Times New Roman"/>
          <w:b w:val="0"/>
          <w:bCs w:val="0"/>
          <w:kern w:val="2"/>
          <w:highlight w:val="none"/>
        </w:rPr>
        <w:t>、</w:t>
      </w:r>
      <w:r>
        <w:rPr>
          <w:rFonts w:hint="eastAsia" w:ascii="Times New Roman" w:hAnsi="Times New Roman" w:eastAsia="仿宋_GB2312" w:cs="Times New Roman"/>
          <w:b w:val="0"/>
          <w:bCs w:val="0"/>
          <w:kern w:val="2"/>
          <w:highlight w:val="none"/>
          <w:lang w:eastAsia="zh-CN"/>
        </w:rPr>
        <w:t>驻厅纪检组</w:t>
      </w:r>
      <w:r>
        <w:rPr>
          <w:rFonts w:hint="default" w:ascii="Times New Roman" w:hAnsi="Times New Roman" w:eastAsia="仿宋_GB2312" w:cs="Times New Roman"/>
          <w:b w:val="0"/>
          <w:bCs w:val="0"/>
          <w:kern w:val="2"/>
          <w:highlight w:val="none"/>
        </w:rPr>
        <w:t>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4B64D26">
      <w:pPr>
        <w:keepNext/>
        <w:keepLines/>
        <w:pageBreakBefore w:val="0"/>
        <w:numPr>
          <w:ilvl w:val="0"/>
          <w:numId w:val="4"/>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4EEE930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891AA0E">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6BA9E3A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w:t>
      </w:r>
      <w:r>
        <w:rPr>
          <w:rFonts w:hint="eastAsia" w:eastAsia="仿宋_GB2312" w:cs="Times New Roman"/>
          <w:sz w:val="32"/>
          <w:szCs w:val="32"/>
          <w:highlight w:val="none"/>
          <w:lang w:val="en-US" w:eastAsia="zh-CN"/>
        </w:rPr>
        <w:t>参加</w:t>
      </w:r>
      <w:r>
        <w:rPr>
          <w:rFonts w:hint="default" w:ascii="Times New Roman" w:hAnsi="Times New Roman" w:eastAsia="仿宋_GB2312" w:cs="Times New Roman"/>
          <w:sz w:val="32"/>
          <w:szCs w:val="32"/>
          <w:highlight w:val="none"/>
          <w:lang w:val="en-US" w:eastAsia="zh-CN"/>
        </w:rPr>
        <w:t>有关绩效管理工作方面的培训。积极</w:t>
      </w:r>
      <w:r>
        <w:rPr>
          <w:rFonts w:hint="eastAsia" w:eastAsia="仿宋_GB2312" w:cs="Times New Roman"/>
          <w:sz w:val="32"/>
          <w:szCs w:val="32"/>
          <w:highlight w:val="none"/>
          <w:lang w:val="en-US" w:eastAsia="zh-CN"/>
        </w:rPr>
        <w:t>参加</w:t>
      </w:r>
      <w:r>
        <w:rPr>
          <w:rFonts w:hint="default" w:ascii="Times New Roman" w:hAnsi="Times New Roman" w:eastAsia="仿宋_GB2312" w:cs="Times New Roman"/>
          <w:sz w:val="32"/>
          <w:szCs w:val="32"/>
          <w:highlight w:val="none"/>
          <w:lang w:val="en-US" w:eastAsia="zh-CN"/>
        </w:rPr>
        <w:t>绩效管理工作培训，进一步夯实业务基础，提高绩效人员水平。</w:t>
      </w:r>
    </w:p>
    <w:p w14:paraId="3422FA2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2.对绩效工作人员定职、定岗、定责，进一步提升绩效管理工作业务水平，扎实做好绩效管理工作。</w:t>
      </w:r>
    </w:p>
    <w:p w14:paraId="5250DB3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3.进一步规范项目建设的程序。严格执行资金管理办法和财政资金管理制度，严格按照项目实施方案、招投标管理办法等稳步推进工作，各部门单位根据自己项目的特点进行总结。</w:t>
      </w:r>
    </w:p>
    <w:p w14:paraId="75B756D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16C6D34A">
      <w:pPr>
        <w:pStyle w:val="13"/>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1051B963">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647CC046">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6073AA4">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75E56853">
      <w:pPr>
        <w:pStyle w:val="13"/>
        <w:spacing w:after="0" w:line="560" w:lineRule="exact"/>
        <w:ind w:left="0" w:leftChars="0" w:firstLine="0" w:firstLineChars="0"/>
        <w:rPr>
          <w:rFonts w:hint="default" w:ascii="Times New Roman" w:hAnsi="Times New Roman" w:eastAsia="仿宋_GB2312" w:cs="Times New Roman"/>
          <w:sz w:val="32"/>
          <w:szCs w:val="32"/>
        </w:rPr>
      </w:pPr>
    </w:p>
    <w:p w14:paraId="36E3E34B">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CD229A7">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57726DBE">
      <w:pPr>
        <w:pStyle w:val="19"/>
        <w:ind w:left="0" w:leftChars="0" w:firstLine="0" w:firstLineChars="0"/>
        <w:jc w:val="center"/>
        <w:rPr>
          <w:rFonts w:hint="eastAsia" w:ascii="方正小标宋简体" w:hAnsi="方正小标宋简体" w:eastAsia="方正小标宋简体" w:cs="方正小标宋简体"/>
          <w:sz w:val="32"/>
          <w:szCs w:val="44"/>
          <w:highlight w:val="none"/>
        </w:rPr>
      </w:pPr>
      <w:bookmarkStart w:id="1" w:name="_Toc30064_WPSOffice_Level1"/>
      <w:bookmarkStart w:id="2" w:name="_Toc26499_WPSOffice_Level2"/>
      <w:r>
        <w:rPr>
          <w:rFonts w:hint="eastAsia" w:ascii="仿宋_GB2312" w:hAnsi="仿宋_GB2312" w:eastAsia="仿宋_GB2312" w:cs="仿宋_GB2312"/>
          <w:b/>
          <w:bCs/>
          <w:i w:val="0"/>
          <w:iCs w:val="0"/>
          <w:color w:val="000000"/>
          <w:kern w:val="0"/>
          <w:sz w:val="28"/>
          <w:szCs w:val="28"/>
          <w:u w:val="none"/>
          <w:lang w:val="en-US" w:eastAsia="zh-CN" w:bidi="ar"/>
        </w:rPr>
        <w:t>自治区工艺美术大师及食品工业企业食品安全培训项目绩效评价指标体系及综合评分表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14:paraId="11158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653E174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40E298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21364A2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1E45437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29482B1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0" w:type="dxa"/>
            <w:shd w:val="clear" w:color="auto" w:fill="FFFFFF"/>
            <w:vAlign w:val="center"/>
          </w:tcPr>
          <w:p w14:paraId="23ED8ED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27038D7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31E49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5E430F3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C08CE3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F38220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B88099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41361A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664DCEC">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9F55C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33C43A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7A0E83D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33D1F17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469424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6018997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14:paraId="73C0876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1C8B2DD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78AB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091E62A6">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953691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CAA10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127478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60B9C30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73D81AD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14:paraId="64DE99D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27FFEF8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D74B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6ACC20AB">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FECB20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1EA83D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71B5E2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6ADF114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7BED0B2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6A0BE03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14:paraId="013563C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6D1692E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2377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6CB20E3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1AB495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D46AF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437605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4A62D78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2A07294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14:paraId="59B7150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6B94E0B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3FAE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6771842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0719C4E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24165EB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67F12F4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22297C6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0939D5D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65D21E7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14:paraId="1EF7062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61D200B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038B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390A6EC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41ED6C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1DCF2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3403940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3F74DA7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D671B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14:paraId="09A7834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0B0AAB9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B3A3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7B277892">
            <w:pPr>
              <w:spacing w:line="0" w:lineRule="atLeast"/>
              <w:jc w:val="center"/>
              <w:rPr>
                <w:rFonts w:hint="default" w:ascii="Times New Roman" w:hAnsi="Times New Roman" w:eastAsia="仿宋_GB2312" w:cs="Times New Roman"/>
                <w:color w:val="000000"/>
                <w:kern w:val="0"/>
                <w:sz w:val="18"/>
                <w:szCs w:val="18"/>
                <w:highlight w:val="none"/>
              </w:rPr>
            </w:pPr>
          </w:p>
          <w:p w14:paraId="26D226F9">
            <w:pPr>
              <w:spacing w:line="0" w:lineRule="atLeast"/>
              <w:jc w:val="center"/>
              <w:rPr>
                <w:rFonts w:hint="default" w:ascii="Times New Roman" w:hAnsi="Times New Roman" w:eastAsia="仿宋_GB2312" w:cs="Times New Roman"/>
                <w:color w:val="000000"/>
                <w:kern w:val="0"/>
                <w:sz w:val="18"/>
                <w:szCs w:val="18"/>
                <w:highlight w:val="none"/>
              </w:rPr>
            </w:pPr>
          </w:p>
          <w:p w14:paraId="32838404">
            <w:pPr>
              <w:spacing w:line="0" w:lineRule="atLeast"/>
              <w:jc w:val="center"/>
              <w:rPr>
                <w:rFonts w:hint="default" w:ascii="Times New Roman" w:hAnsi="Times New Roman" w:eastAsia="仿宋_GB2312" w:cs="Times New Roman"/>
                <w:color w:val="000000"/>
                <w:kern w:val="0"/>
                <w:sz w:val="18"/>
                <w:szCs w:val="18"/>
                <w:highlight w:val="none"/>
              </w:rPr>
            </w:pPr>
          </w:p>
          <w:p w14:paraId="340A0CBC">
            <w:pPr>
              <w:spacing w:line="0" w:lineRule="atLeast"/>
              <w:jc w:val="center"/>
              <w:rPr>
                <w:rFonts w:hint="default" w:ascii="Times New Roman" w:hAnsi="Times New Roman" w:eastAsia="仿宋_GB2312" w:cs="Times New Roman"/>
                <w:color w:val="000000"/>
                <w:kern w:val="0"/>
                <w:sz w:val="18"/>
                <w:szCs w:val="18"/>
                <w:highlight w:val="none"/>
              </w:rPr>
            </w:pPr>
          </w:p>
          <w:p w14:paraId="48874564">
            <w:pPr>
              <w:spacing w:line="0" w:lineRule="atLeast"/>
              <w:jc w:val="center"/>
              <w:rPr>
                <w:rFonts w:hint="default" w:ascii="Times New Roman" w:hAnsi="Times New Roman" w:eastAsia="仿宋_GB2312" w:cs="Times New Roman"/>
                <w:color w:val="000000"/>
                <w:kern w:val="0"/>
                <w:sz w:val="18"/>
                <w:szCs w:val="18"/>
                <w:highlight w:val="none"/>
              </w:rPr>
            </w:pPr>
          </w:p>
          <w:p w14:paraId="7946826B">
            <w:pPr>
              <w:spacing w:line="0" w:lineRule="atLeast"/>
              <w:jc w:val="center"/>
              <w:rPr>
                <w:rFonts w:hint="default" w:ascii="Times New Roman" w:hAnsi="Times New Roman" w:eastAsia="仿宋_GB2312" w:cs="Times New Roman"/>
                <w:color w:val="000000"/>
                <w:kern w:val="0"/>
                <w:sz w:val="18"/>
                <w:szCs w:val="18"/>
                <w:highlight w:val="none"/>
              </w:rPr>
            </w:pPr>
          </w:p>
          <w:p w14:paraId="56731E09">
            <w:pPr>
              <w:spacing w:line="0" w:lineRule="atLeast"/>
              <w:jc w:val="center"/>
              <w:rPr>
                <w:rFonts w:hint="default" w:ascii="Times New Roman" w:hAnsi="Times New Roman" w:eastAsia="仿宋_GB2312" w:cs="Times New Roman"/>
                <w:color w:val="000000"/>
                <w:kern w:val="0"/>
                <w:sz w:val="18"/>
                <w:szCs w:val="18"/>
                <w:highlight w:val="none"/>
              </w:rPr>
            </w:pPr>
          </w:p>
          <w:p w14:paraId="0C230F98">
            <w:pPr>
              <w:spacing w:line="0" w:lineRule="atLeast"/>
              <w:jc w:val="center"/>
              <w:rPr>
                <w:rFonts w:hint="default" w:ascii="Times New Roman" w:hAnsi="Times New Roman" w:eastAsia="仿宋_GB2312" w:cs="Times New Roman"/>
                <w:color w:val="000000"/>
                <w:kern w:val="0"/>
                <w:sz w:val="18"/>
                <w:szCs w:val="18"/>
                <w:highlight w:val="none"/>
              </w:rPr>
            </w:pPr>
          </w:p>
          <w:p w14:paraId="5AF09595">
            <w:pPr>
              <w:spacing w:line="0" w:lineRule="atLeast"/>
              <w:jc w:val="center"/>
              <w:rPr>
                <w:rFonts w:hint="default" w:ascii="Times New Roman" w:hAnsi="Times New Roman" w:eastAsia="仿宋_GB2312" w:cs="Times New Roman"/>
                <w:color w:val="000000"/>
                <w:kern w:val="0"/>
                <w:sz w:val="18"/>
                <w:szCs w:val="18"/>
                <w:highlight w:val="none"/>
              </w:rPr>
            </w:pPr>
          </w:p>
          <w:p w14:paraId="25DD374B">
            <w:pPr>
              <w:spacing w:line="0" w:lineRule="atLeast"/>
              <w:jc w:val="center"/>
              <w:rPr>
                <w:rFonts w:hint="default" w:ascii="Times New Roman" w:hAnsi="Times New Roman" w:eastAsia="仿宋_GB2312" w:cs="Times New Roman"/>
                <w:color w:val="000000"/>
                <w:kern w:val="0"/>
                <w:sz w:val="18"/>
                <w:szCs w:val="18"/>
                <w:highlight w:val="none"/>
              </w:rPr>
            </w:pPr>
          </w:p>
          <w:p w14:paraId="77EE1D8F">
            <w:pPr>
              <w:spacing w:line="0" w:lineRule="atLeast"/>
              <w:jc w:val="center"/>
              <w:rPr>
                <w:rFonts w:hint="default" w:ascii="Times New Roman" w:hAnsi="Times New Roman" w:eastAsia="仿宋_GB2312" w:cs="Times New Roman"/>
                <w:color w:val="000000"/>
                <w:kern w:val="0"/>
                <w:sz w:val="18"/>
                <w:szCs w:val="18"/>
                <w:highlight w:val="none"/>
              </w:rPr>
            </w:pPr>
          </w:p>
          <w:p w14:paraId="76D4186E">
            <w:pPr>
              <w:spacing w:line="0" w:lineRule="atLeast"/>
              <w:jc w:val="center"/>
              <w:rPr>
                <w:rFonts w:hint="default" w:ascii="Times New Roman" w:hAnsi="Times New Roman" w:eastAsia="仿宋_GB2312" w:cs="Times New Roman"/>
                <w:color w:val="000000"/>
                <w:kern w:val="0"/>
                <w:sz w:val="18"/>
                <w:szCs w:val="18"/>
                <w:highlight w:val="none"/>
              </w:rPr>
            </w:pPr>
          </w:p>
          <w:p w14:paraId="7B684313">
            <w:pPr>
              <w:spacing w:line="0" w:lineRule="atLeast"/>
              <w:jc w:val="center"/>
              <w:rPr>
                <w:rFonts w:hint="default" w:ascii="Times New Roman" w:hAnsi="Times New Roman" w:eastAsia="仿宋_GB2312" w:cs="Times New Roman"/>
                <w:color w:val="000000"/>
                <w:kern w:val="0"/>
                <w:sz w:val="18"/>
                <w:szCs w:val="18"/>
                <w:highlight w:val="none"/>
              </w:rPr>
            </w:pPr>
          </w:p>
          <w:p w14:paraId="4BC42FD5">
            <w:pPr>
              <w:spacing w:line="0" w:lineRule="atLeast"/>
              <w:jc w:val="center"/>
              <w:rPr>
                <w:rFonts w:hint="default" w:ascii="Times New Roman" w:hAnsi="Times New Roman" w:eastAsia="仿宋_GB2312" w:cs="Times New Roman"/>
                <w:color w:val="000000"/>
                <w:kern w:val="0"/>
                <w:sz w:val="18"/>
                <w:szCs w:val="18"/>
                <w:highlight w:val="none"/>
              </w:rPr>
            </w:pPr>
          </w:p>
          <w:p w14:paraId="57951878">
            <w:pPr>
              <w:spacing w:line="0" w:lineRule="atLeast"/>
              <w:jc w:val="center"/>
              <w:rPr>
                <w:rFonts w:hint="default" w:ascii="Times New Roman" w:hAnsi="Times New Roman" w:eastAsia="仿宋_GB2312" w:cs="Times New Roman"/>
                <w:color w:val="000000"/>
                <w:kern w:val="0"/>
                <w:sz w:val="18"/>
                <w:szCs w:val="18"/>
                <w:highlight w:val="none"/>
              </w:rPr>
            </w:pPr>
          </w:p>
          <w:p w14:paraId="164E3C2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01D642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720B411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40CCE0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2C7CB8B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5E853BB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5F33EEA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768B706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14:paraId="3C7FB2B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51E4BCC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D8A42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29151ED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3D576D5">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AD56FC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7B79B1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085F44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14:paraId="53423D6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1073984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3EF5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783257B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A5D75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346C22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7695CBF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1E1CEA0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1043826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14:paraId="05EC573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6631248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5E96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4754B0F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78E37D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32473EDB">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56673E1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08F983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6DF588D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0AB9AC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14:paraId="5107D4D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5894975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8ADF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02441E1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645E3A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A57B8C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2F7C30B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65D59D0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5296990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14:paraId="73A48AB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CE1A7A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28CB2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04BCFF1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23052E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5928626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129FE80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36C7E47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14:paraId="6F9DC09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4BAC711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8B1C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0DAB02B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15CF1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3C40AE4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39F3F8D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1F30A0B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07E68FD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7671719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191E2E6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D6D7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14:paraId="6FB40C0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0C59A9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64EBC56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3CBC621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3DD7B32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14:paraId="675A37F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B3A0A0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D452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79DF2E2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D983A3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13DE6B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14:paraId="114CC50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6C95976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14:paraId="7ADC8F1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0C1548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8ECF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071324F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31FFC37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11B369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2642F01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48250F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14:paraId="363E101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00A4F75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B874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3F860C4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174761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F00CA0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14:paraId="2212480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1542B6E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14:paraId="2F9A7F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51D2944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353D00D6">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223FA73">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附件2</w:t>
      </w:r>
    </w:p>
    <w:p w14:paraId="2E89A08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307A264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602"/>
        <w:gridCol w:w="688"/>
        <w:gridCol w:w="1575"/>
      </w:tblGrid>
      <w:tr w14:paraId="06B2F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4348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01EA02A">
            <w:pPr>
              <w:jc w:val="center"/>
              <w:rPr>
                <w:rFonts w:hint="eastAsia" w:ascii="仿宋_GB2312" w:hAnsi="仿宋_GB2312" w:eastAsia="仿宋_GB2312" w:cs="仿宋_GB2312"/>
                <w:i w:val="0"/>
                <w:iCs w:val="0"/>
                <w:color w:val="000000"/>
                <w:sz w:val="18"/>
                <w:szCs w:val="18"/>
                <w:u w:val="none"/>
              </w:rPr>
            </w:pPr>
            <w:r>
              <w:rPr>
                <w:rFonts w:hint="eastAsia"/>
                <w:sz w:val="18"/>
                <w:szCs w:val="18"/>
              </w:rPr>
              <w:t>自治区工艺美术大师及食品工业企业食品安全培训项目</w:t>
            </w:r>
          </w:p>
        </w:tc>
      </w:tr>
      <w:tr w14:paraId="227A0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59B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8F051C">
            <w:pPr>
              <w:jc w:val="center"/>
              <w:rPr>
                <w:rFonts w:hint="eastAsia" w:ascii="仿宋_GB2312" w:hAnsi="仿宋_GB2312" w:eastAsia="仿宋_GB2312" w:cs="仿宋_GB2312"/>
                <w:i w:val="0"/>
                <w:iCs w:val="0"/>
                <w:color w:val="000000"/>
                <w:sz w:val="18"/>
                <w:szCs w:val="18"/>
                <w:u w:val="none"/>
              </w:rPr>
            </w:pPr>
            <w:r>
              <w:rPr>
                <w:rFonts w:hint="eastAsia"/>
                <w:sz w:val="18"/>
                <w:szCs w:val="18"/>
              </w:rPr>
              <w:t>自治区工业和信息化厅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38AB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E084AE">
            <w:pPr>
              <w:jc w:val="center"/>
              <w:rPr>
                <w:rFonts w:hint="eastAsia" w:ascii="仿宋_GB2312" w:hAnsi="仿宋_GB2312" w:eastAsia="仿宋_GB2312" w:cs="仿宋_GB2312"/>
                <w:i w:val="0"/>
                <w:iCs w:val="0"/>
                <w:color w:val="000000"/>
                <w:sz w:val="18"/>
                <w:szCs w:val="18"/>
                <w:u w:val="none"/>
              </w:rPr>
            </w:pPr>
            <w:r>
              <w:rPr>
                <w:rFonts w:hint="eastAsia"/>
                <w:sz w:val="18"/>
                <w:szCs w:val="18"/>
              </w:rPr>
              <w:t>轻工业行业管理处</w:t>
            </w:r>
          </w:p>
        </w:tc>
      </w:tr>
      <w:tr w14:paraId="67663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6EFFC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3D9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329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A255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324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C234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2E43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9D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0690C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7C83B">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40EF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4F7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3212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BBAF0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53.3648</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1F36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C8AA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97%</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F2C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9.7</w:t>
            </w:r>
          </w:p>
        </w:tc>
      </w:tr>
      <w:tr w14:paraId="5FCBC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E442B">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2E13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099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B27B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F33BC">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B69B1">
            <w:pPr>
              <w:jc w:val="center"/>
              <w:rPr>
                <w:rFonts w:hint="eastAsia" w:ascii="仿宋_GB2312" w:hAnsi="仿宋_GB2312" w:eastAsia="仿宋_GB2312" w:cs="仿宋_GB2312"/>
                <w:i w:val="0"/>
                <w:iCs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415E9">
            <w:pPr>
              <w:jc w:val="center"/>
              <w:rPr>
                <w:rFonts w:hint="eastAsia" w:ascii="仿宋_GB2312" w:hAnsi="仿宋_GB2312" w:eastAsia="仿宋_GB2312" w:cs="仿宋_GB2312"/>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48A05">
            <w:pPr>
              <w:jc w:val="center"/>
              <w:rPr>
                <w:rFonts w:hint="eastAsia" w:ascii="仿宋_GB2312" w:hAnsi="仿宋_GB2312" w:eastAsia="仿宋_GB2312" w:cs="仿宋_GB2312"/>
                <w:i w:val="0"/>
                <w:iCs w:val="0"/>
                <w:color w:val="000000"/>
                <w:sz w:val="18"/>
                <w:szCs w:val="18"/>
                <w:u w:val="none"/>
              </w:rPr>
            </w:pPr>
          </w:p>
        </w:tc>
      </w:tr>
      <w:tr w14:paraId="55097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2030D">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2DB1C96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6867723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5C0CFE9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7BEB09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53.3648</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5696D">
            <w:pPr>
              <w:jc w:val="center"/>
              <w:rPr>
                <w:rFonts w:hint="eastAsia" w:ascii="仿宋_GB2312" w:hAnsi="仿宋_GB2312" w:eastAsia="仿宋_GB2312" w:cs="仿宋_GB2312"/>
                <w:i w:val="0"/>
                <w:iCs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8E3FA">
            <w:pPr>
              <w:jc w:val="center"/>
              <w:rPr>
                <w:rFonts w:hint="eastAsia" w:ascii="仿宋_GB2312" w:hAnsi="仿宋_GB2312" w:eastAsia="仿宋_GB2312" w:cs="仿宋_GB2312"/>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15FF">
            <w:pPr>
              <w:jc w:val="center"/>
              <w:rPr>
                <w:rFonts w:hint="eastAsia" w:ascii="仿宋_GB2312" w:hAnsi="仿宋_GB2312" w:eastAsia="仿宋_GB2312" w:cs="仿宋_GB2312"/>
                <w:i w:val="0"/>
                <w:iCs w:val="0"/>
                <w:color w:val="000000"/>
                <w:sz w:val="18"/>
                <w:szCs w:val="18"/>
                <w:u w:val="none"/>
              </w:rPr>
            </w:pPr>
          </w:p>
        </w:tc>
      </w:tr>
      <w:tr w14:paraId="2018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58A8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17420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01E6B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34DE9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2EA56">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4E63C152">
            <w:pPr>
              <w:ind w:firstLine="360" w:firstLineChars="200"/>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一、贯彻落实自治区关于食品安全工作安排部署，贯彻落实《自治区食品安全宣传措施清单》《关于食品工业企业诚信体系建设工作指导意见》，开展年度食品工业企业食品安全培训。按期完成培训，培训人数计划超过40人，培训完成率超过95%，宣贯《食品工业企业诚信管理体系》国家标准，有效推动全区食品工业健康发展。二、贯彻《传统工艺美术保护条例》，开展工艺美术大师评审、培训等活动，推动工艺美术行业繁荣和发展。按期完成培训，培训人数计划超过40人，培训完成率超过95%，长期推动全区工艺美术行业繁荣和发展。</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D65C2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w:t>
            </w:r>
            <w:r>
              <w:rPr>
                <w:rFonts w:hint="eastAsia" w:ascii="仿宋_GB2312" w:hAnsi="仿宋_GB2312" w:eastAsia="仿宋_GB2312" w:cs="仿宋_GB2312"/>
                <w:i w:val="0"/>
                <w:iCs w:val="0"/>
                <w:color w:val="000000"/>
                <w:sz w:val="18"/>
                <w:szCs w:val="18"/>
                <w:u w:val="none"/>
              </w:rPr>
              <w:t>02</w:t>
            </w:r>
            <w:r>
              <w:rPr>
                <w:rFonts w:hint="eastAsia" w:ascii="仿宋_GB2312" w:hAnsi="仿宋_GB2312" w:eastAsia="仿宋_GB2312" w:cs="仿宋_GB2312"/>
                <w:i w:val="0"/>
                <w:iCs w:val="0"/>
                <w:color w:val="000000"/>
                <w:sz w:val="18"/>
                <w:szCs w:val="18"/>
                <w:u w:val="none"/>
                <w:lang w:val="en-US" w:eastAsia="zh-CN"/>
              </w:rPr>
              <w:t>4</w:t>
            </w:r>
            <w:r>
              <w:rPr>
                <w:rFonts w:hint="eastAsia" w:ascii="仿宋_GB2312" w:hAnsi="仿宋_GB2312" w:eastAsia="仿宋_GB2312" w:cs="仿宋_GB2312"/>
                <w:i w:val="0"/>
                <w:iCs w:val="0"/>
                <w:color w:val="000000"/>
                <w:sz w:val="18"/>
                <w:szCs w:val="18"/>
                <w:u w:val="none"/>
              </w:rPr>
              <w:t>年12月31日前全部完成</w:t>
            </w:r>
          </w:p>
        </w:tc>
      </w:tr>
      <w:tr w14:paraId="5F6C8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BB1E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3C0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1D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79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9B5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E9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DAD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1DAD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44D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30E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35B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50C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0F42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BBC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0564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E48AF">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C6A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402B3A7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5A2EC3F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自治区工艺美术大师培训人数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53F9">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lang w:val="en-US" w:eastAsia="zh-CN"/>
              </w:rPr>
              <w:t>40人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46E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88EE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4748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9D36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018B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9F38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50人</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D0A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CEC5B">
            <w:pPr>
              <w:jc w:val="center"/>
              <w:rPr>
                <w:rFonts w:hint="eastAsia" w:ascii="仿宋_GB2312" w:hAnsi="仿宋_GB2312" w:eastAsia="仿宋_GB2312" w:cs="仿宋_GB2312"/>
                <w:b/>
                <w:bCs/>
                <w:i w:val="0"/>
                <w:iCs w:val="0"/>
                <w:color w:val="000000"/>
                <w:sz w:val="18"/>
                <w:szCs w:val="18"/>
                <w:u w:val="none"/>
                <w:lang w:val="en-US" w:eastAsia="zh-CN"/>
              </w:rPr>
            </w:pPr>
            <w:r>
              <w:rPr>
                <w:rFonts w:hint="eastAsia" w:ascii="仿宋_GB2312" w:hAnsi="仿宋_GB2312" w:eastAsia="仿宋_GB2312" w:cs="仿宋_GB2312"/>
                <w:b w:val="0"/>
                <w:bCs w:val="0"/>
                <w:i w:val="0"/>
                <w:iCs w:val="0"/>
                <w:color w:val="000000"/>
                <w:sz w:val="18"/>
                <w:szCs w:val="18"/>
                <w:u w:val="none"/>
                <w:lang w:val="en-US" w:eastAsia="zh-CN"/>
              </w:rPr>
              <w:t>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5E9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i w:val="0"/>
                <w:iCs w:val="0"/>
                <w:color w:val="000000"/>
                <w:spacing w:val="-11"/>
                <w:sz w:val="18"/>
                <w:szCs w:val="18"/>
                <w:u w:val="none"/>
              </w:rPr>
            </w:pPr>
            <w:r>
              <w:rPr>
                <w:rFonts w:hint="eastAsia" w:ascii="仿宋_GB2312" w:hAnsi="仿宋_GB2312" w:eastAsia="仿宋_GB2312" w:cs="仿宋_GB2312"/>
                <w:i w:val="0"/>
                <w:iCs w:val="0"/>
                <w:color w:val="000000"/>
                <w:spacing w:val="-11"/>
                <w:sz w:val="18"/>
                <w:szCs w:val="18"/>
                <w:u w:val="none"/>
              </w:rPr>
              <w:t>偏差原因：在项目实施过程中，企业及个人反馈参训意愿强，严格控制项目预算，缩短了培训课时，增加了参训人数。改进措施：2025年项目绩效目标设立时将自治区工艺美术大师培训人数定为100人，自治区食品工业企业食品安全培训培训人数定为100人。</w:t>
            </w:r>
          </w:p>
        </w:tc>
      </w:tr>
      <w:tr w14:paraId="22962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E0F5F">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527F307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bottom w:val="nil"/>
              <w:right w:val="single" w:color="000000" w:sz="4" w:space="0"/>
            </w:tcBorders>
            <w:shd w:val="clear" w:color="auto" w:fill="auto"/>
            <w:noWrap/>
            <w:vAlign w:val="center"/>
          </w:tcPr>
          <w:p w14:paraId="258838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0DC1119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自治区食品工业企业食品安全培训人数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AAA27">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lang w:val="en-US" w:eastAsia="zh-CN"/>
              </w:rPr>
              <w:t>40人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7FE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119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DB0D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A86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294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1AF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50人</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DBF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125%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338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322D">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i w:val="0"/>
                <w:iCs w:val="0"/>
                <w:color w:val="000000"/>
                <w:spacing w:val="-11"/>
                <w:sz w:val="18"/>
                <w:szCs w:val="18"/>
                <w:u w:val="none"/>
              </w:rPr>
            </w:pPr>
            <w:r>
              <w:rPr>
                <w:rFonts w:hint="eastAsia" w:ascii="仿宋_GB2312" w:hAnsi="仿宋_GB2312" w:eastAsia="仿宋_GB2312" w:cs="仿宋_GB2312"/>
                <w:i w:val="0"/>
                <w:iCs w:val="0"/>
                <w:color w:val="000000"/>
                <w:spacing w:val="-11"/>
                <w:sz w:val="18"/>
                <w:szCs w:val="18"/>
                <w:u w:val="none"/>
              </w:rPr>
              <w:t>偏差原因：在项目实施过程中，企业及个人反馈参训意愿强，严格控制项目预算，缩短了培训课时，增加了参训人数。改进措施：2025年项目绩效目标设立时将自治区工艺美术大师培训人数定为100人，自治区食品工业企业食品安全培训培训人数定为100人。</w:t>
            </w:r>
          </w:p>
        </w:tc>
      </w:tr>
      <w:tr w14:paraId="2E949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2"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F6CA8">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8E83C">
            <w:pPr>
              <w:jc w:val="center"/>
              <w:rPr>
                <w:rFonts w:hint="eastAsia" w:ascii="仿宋_GB2312" w:hAnsi="仿宋_GB2312" w:eastAsia="仿宋_GB2312" w:cs="仿宋_GB2312"/>
                <w:i w:val="0"/>
                <w:iCs w:val="0"/>
                <w:color w:val="000000"/>
                <w:sz w:val="18"/>
                <w:szCs w:val="18"/>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14:paraId="7C281D9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64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自治区工艺美术大师培训人次完成率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7F85">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lang w:val="en-US" w:eastAsia="zh-CN"/>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E5A2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2B7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3BD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E9D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B10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1274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5BA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C3A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7.83</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9DBF">
            <w:pPr>
              <w:jc w:val="center"/>
              <w:rPr>
                <w:rFonts w:hint="eastAsia" w:ascii="仿宋_GB2312" w:hAnsi="仿宋_GB2312" w:eastAsia="仿宋_GB2312" w:cs="仿宋_GB2312"/>
                <w:i w:val="0"/>
                <w:iCs w:val="0"/>
                <w:color w:val="000000"/>
                <w:spacing w:val="-11"/>
                <w:sz w:val="18"/>
                <w:szCs w:val="18"/>
                <w:u w:val="none"/>
              </w:rPr>
            </w:pPr>
          </w:p>
        </w:tc>
      </w:tr>
      <w:tr w14:paraId="5B70C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27A9C">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9C0B">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14:paraId="4C4155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AED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自治区食品工业企业食品安全培训人次完成率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70FA">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lang w:val="en-US" w:eastAsia="zh-CN"/>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CBE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DFAC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F2E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6F50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984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176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44F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ADF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7.83</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30B4C">
            <w:pPr>
              <w:jc w:val="center"/>
              <w:rPr>
                <w:rFonts w:hint="eastAsia" w:ascii="仿宋_GB2312" w:hAnsi="仿宋_GB2312" w:eastAsia="仿宋_GB2312" w:cs="仿宋_GB2312"/>
                <w:i w:val="0"/>
                <w:iCs w:val="0"/>
                <w:color w:val="000000"/>
                <w:spacing w:val="-11"/>
                <w:sz w:val="18"/>
                <w:szCs w:val="18"/>
                <w:u w:val="none"/>
              </w:rPr>
            </w:pPr>
          </w:p>
        </w:tc>
      </w:tr>
      <w:tr w14:paraId="08F41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848F">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D07B">
            <w:pPr>
              <w:jc w:val="center"/>
              <w:rPr>
                <w:rFonts w:hint="eastAsia" w:ascii="仿宋_GB2312" w:hAnsi="仿宋_GB2312" w:eastAsia="仿宋_GB2312" w:cs="仿宋_GB2312"/>
                <w:i w:val="0"/>
                <w:iCs w:val="0"/>
                <w:color w:val="000000"/>
                <w:sz w:val="18"/>
                <w:szCs w:val="18"/>
                <w:u w:val="none"/>
              </w:rPr>
            </w:pP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0FE944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D31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自治区工艺美术大师培训按期完成率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F44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F8F5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0615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F5D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8D0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948C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E91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289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3E2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4A63">
            <w:pPr>
              <w:jc w:val="center"/>
              <w:rPr>
                <w:rFonts w:hint="eastAsia" w:ascii="仿宋_GB2312" w:hAnsi="仿宋_GB2312" w:eastAsia="仿宋_GB2312" w:cs="仿宋_GB2312"/>
                <w:b/>
                <w:bCs/>
                <w:i w:val="0"/>
                <w:iCs w:val="0"/>
                <w:color w:val="000000"/>
                <w:spacing w:val="-11"/>
                <w:sz w:val="18"/>
                <w:szCs w:val="18"/>
                <w:u w:val="none"/>
              </w:rPr>
            </w:pPr>
          </w:p>
        </w:tc>
      </w:tr>
      <w:tr w14:paraId="2F257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5EC3">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267B2">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nil"/>
              <w:right w:val="single" w:color="000000" w:sz="4" w:space="0"/>
            </w:tcBorders>
            <w:shd w:val="clear" w:color="auto" w:fill="auto"/>
            <w:noWrap/>
            <w:vAlign w:val="center"/>
          </w:tcPr>
          <w:p w14:paraId="609BC2D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0368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自治区食品工业企业食品安全培训按时完成率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244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E691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127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8C1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A837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D2C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6D4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C1E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A60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C92A8">
            <w:pPr>
              <w:jc w:val="center"/>
              <w:rPr>
                <w:rFonts w:hint="eastAsia" w:ascii="仿宋_GB2312" w:hAnsi="仿宋_GB2312" w:eastAsia="仿宋_GB2312" w:cs="仿宋_GB2312"/>
                <w:b/>
                <w:bCs/>
                <w:i w:val="0"/>
                <w:iCs w:val="0"/>
                <w:color w:val="000000"/>
                <w:spacing w:val="-11"/>
                <w:sz w:val="18"/>
                <w:szCs w:val="18"/>
                <w:u w:val="none"/>
              </w:rPr>
            </w:pPr>
          </w:p>
        </w:tc>
      </w:tr>
      <w:tr w14:paraId="37700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C990A">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0299E3E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3DED307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DCF5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自治区工艺美术大师培训支出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8A8F">
            <w:pPr>
              <w:jc w:val="center"/>
              <w:rPr>
                <w:rFonts w:hint="eastAsia" w:ascii="仿宋_GB2312" w:hAnsi="仿宋_GB2312" w:eastAsia="仿宋_GB2312" w:cs="仿宋_GB2312"/>
                <w:i w:val="0"/>
                <w:iCs w:val="0"/>
                <w:color w:val="000000"/>
                <w:sz w:val="18"/>
                <w:szCs w:val="18"/>
                <w:u w:val="none"/>
              </w:rPr>
            </w:pPr>
            <w:bookmarkStart w:id="3" w:name="OLE_LINK1"/>
            <w:r>
              <w:rPr>
                <w:rFonts w:hint="eastAsia" w:ascii="仿宋_GB2312" w:hAnsi="仿宋_GB2312" w:eastAsia="仿宋_GB2312" w:cs="仿宋_GB2312"/>
                <w:i w:val="0"/>
                <w:iCs w:val="0"/>
                <w:color w:val="000000"/>
                <w:sz w:val="18"/>
                <w:szCs w:val="18"/>
                <w:u w:val="none"/>
                <w:lang w:val="en-US" w:eastAsia="zh-CN"/>
              </w:rPr>
              <w:t>≤30</w:t>
            </w:r>
            <w:bookmarkEnd w:id="3"/>
          </w:p>
        </w:tc>
        <w:tc>
          <w:tcPr>
            <w:tcW w:w="1164" w:type="dxa"/>
            <w:tcBorders>
              <w:top w:val="single" w:color="000000" w:sz="4" w:space="0"/>
              <w:left w:val="single" w:color="000000" w:sz="4" w:space="0"/>
              <w:bottom w:val="nil"/>
              <w:right w:val="single" w:color="000000" w:sz="4" w:space="0"/>
            </w:tcBorders>
            <w:shd w:val="clear" w:color="auto" w:fill="auto"/>
            <w:vAlign w:val="center"/>
          </w:tcPr>
          <w:p w14:paraId="5F37BF6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05E2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29.66</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FBB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5BC40A7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32B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35D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29.7198</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162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5005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9.75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F93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i w:val="0"/>
                <w:iCs w:val="0"/>
                <w:color w:val="000000"/>
                <w:spacing w:val="-11"/>
                <w:sz w:val="18"/>
                <w:szCs w:val="18"/>
                <w:u w:val="none"/>
                <w:lang w:eastAsia="zh-CN"/>
              </w:rPr>
            </w:pPr>
            <w:r>
              <w:rPr>
                <w:rFonts w:hint="eastAsia" w:ascii="仿宋_GB2312" w:hAnsi="仿宋_GB2312" w:eastAsia="仿宋_GB2312" w:cs="仿宋_GB2312"/>
                <w:i w:val="0"/>
                <w:iCs w:val="0"/>
                <w:color w:val="000000"/>
                <w:spacing w:val="-11"/>
                <w:sz w:val="18"/>
                <w:szCs w:val="18"/>
                <w:u w:val="none"/>
              </w:rPr>
              <w:t>偏差原因：严格按照政府采购相关规定采购，执行中标价格。</w:t>
            </w:r>
            <w:r>
              <w:rPr>
                <w:rFonts w:hint="eastAsia" w:ascii="仿宋_GB2312" w:hAnsi="仿宋_GB2312" w:eastAsia="仿宋_GB2312" w:cs="仿宋_GB2312"/>
                <w:i w:val="0"/>
                <w:iCs w:val="0"/>
                <w:color w:val="000000"/>
                <w:spacing w:val="-11"/>
                <w:sz w:val="18"/>
                <w:szCs w:val="18"/>
                <w:u w:val="none"/>
                <w:lang w:eastAsia="zh-CN"/>
              </w:rPr>
              <w:t>改进措施：</w:t>
            </w:r>
            <w:r>
              <w:rPr>
                <w:rFonts w:hint="eastAsia" w:ascii="仿宋_GB2312" w:hAnsi="仿宋_GB2312" w:eastAsia="仿宋_GB2312" w:cs="仿宋_GB2312"/>
                <w:i w:val="0"/>
                <w:iCs w:val="0"/>
                <w:color w:val="000000"/>
                <w:spacing w:val="-11"/>
                <w:sz w:val="18"/>
                <w:szCs w:val="18"/>
                <w:u w:val="none"/>
              </w:rPr>
              <w:t>严格按照政府采购相关规定采购，执行中标价格。</w:t>
            </w:r>
          </w:p>
        </w:tc>
      </w:tr>
      <w:tr w14:paraId="5EA83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4448">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75D18B3F">
            <w:pPr>
              <w:jc w:val="center"/>
              <w:rPr>
                <w:rFonts w:hint="eastAsia" w:ascii="仿宋_GB2312" w:hAnsi="仿宋_GB2312" w:eastAsia="仿宋_GB2312" w:cs="仿宋_GB2312"/>
                <w:i w:val="0"/>
                <w:iCs w:val="0"/>
                <w:color w:val="000000"/>
                <w:sz w:val="18"/>
                <w:szCs w:val="18"/>
                <w:u w:val="none"/>
                <w:lang w:val="en-US" w:eastAsia="zh-CN"/>
              </w:rPr>
            </w:pPr>
          </w:p>
        </w:tc>
        <w:tc>
          <w:tcPr>
            <w:tcW w:w="1312" w:type="dxa"/>
            <w:vMerge w:val="continue"/>
            <w:tcBorders>
              <w:left w:val="single" w:color="000000" w:sz="4" w:space="0"/>
              <w:bottom w:val="nil"/>
              <w:right w:val="single" w:color="000000" w:sz="4" w:space="0"/>
            </w:tcBorders>
            <w:shd w:val="clear" w:color="auto" w:fill="auto"/>
            <w:noWrap/>
            <w:vAlign w:val="center"/>
          </w:tcPr>
          <w:p w14:paraId="7B2773B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B46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自治区食品工业企业食品安全培训支出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738E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≤25</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7072D8D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FB3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24.92</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413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283B990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BB6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321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23.645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C20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E8B3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8.75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4DA0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i w:val="0"/>
                <w:iCs w:val="0"/>
                <w:color w:val="000000"/>
                <w:spacing w:val="-11"/>
                <w:sz w:val="18"/>
                <w:szCs w:val="18"/>
                <w:u w:val="none"/>
              </w:rPr>
            </w:pPr>
            <w:r>
              <w:rPr>
                <w:rFonts w:hint="eastAsia" w:ascii="仿宋_GB2312" w:hAnsi="仿宋_GB2312" w:eastAsia="仿宋_GB2312" w:cs="仿宋_GB2312"/>
                <w:i w:val="0"/>
                <w:iCs w:val="0"/>
                <w:color w:val="000000"/>
                <w:spacing w:val="-11"/>
                <w:sz w:val="18"/>
                <w:szCs w:val="18"/>
                <w:u w:val="none"/>
              </w:rPr>
              <w:t>偏差原因：严格按照政府采购相关规定采购，执行中标价格。</w:t>
            </w:r>
            <w:r>
              <w:rPr>
                <w:rFonts w:hint="eastAsia" w:ascii="仿宋_GB2312" w:hAnsi="仿宋_GB2312" w:eastAsia="仿宋_GB2312" w:cs="仿宋_GB2312"/>
                <w:i w:val="0"/>
                <w:iCs w:val="0"/>
                <w:color w:val="000000"/>
                <w:spacing w:val="-11"/>
                <w:sz w:val="18"/>
                <w:szCs w:val="18"/>
                <w:u w:val="none"/>
                <w:lang w:eastAsia="zh-CN"/>
              </w:rPr>
              <w:t>改进措施：</w:t>
            </w:r>
            <w:r>
              <w:rPr>
                <w:rFonts w:hint="eastAsia" w:ascii="仿宋_GB2312" w:hAnsi="仿宋_GB2312" w:eastAsia="仿宋_GB2312" w:cs="仿宋_GB2312"/>
                <w:i w:val="0"/>
                <w:iCs w:val="0"/>
                <w:color w:val="000000"/>
                <w:spacing w:val="-11"/>
                <w:sz w:val="18"/>
                <w:szCs w:val="18"/>
                <w:u w:val="none"/>
              </w:rPr>
              <w:t>严格按照政府采购相关规定采购，执行中标价格。</w:t>
            </w:r>
          </w:p>
        </w:tc>
      </w:tr>
      <w:tr w14:paraId="55706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F7990">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83CDC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vMerge w:val="restart"/>
            <w:tcBorders>
              <w:top w:val="single" w:color="000000" w:sz="4" w:space="0"/>
              <w:left w:val="single" w:color="000000" w:sz="4" w:space="0"/>
              <w:right w:val="single" w:color="000000" w:sz="4" w:space="0"/>
            </w:tcBorders>
            <w:shd w:val="clear" w:color="auto" w:fill="auto"/>
            <w:vAlign w:val="center"/>
          </w:tcPr>
          <w:p w14:paraId="3676402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C33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推动全区工艺美术行业繁荣和发展</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CE1D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有效推动</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E64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9BD8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有效推动</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E3E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075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0095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B95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有效推动</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974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AC0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7FFCA">
            <w:pPr>
              <w:jc w:val="center"/>
              <w:rPr>
                <w:rFonts w:hint="eastAsia" w:ascii="仿宋_GB2312" w:hAnsi="仿宋_GB2312" w:eastAsia="仿宋_GB2312" w:cs="仿宋_GB2312"/>
                <w:i w:val="0"/>
                <w:iCs w:val="0"/>
                <w:color w:val="000000"/>
                <w:sz w:val="18"/>
                <w:szCs w:val="18"/>
                <w:u w:val="none"/>
              </w:rPr>
            </w:pPr>
          </w:p>
        </w:tc>
      </w:tr>
      <w:tr w14:paraId="47693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0C72">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082CC">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14:paraId="70B125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2A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推动全区食品工业健康发展</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8DE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有效推动</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5E2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0DA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有效推动</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A83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D5D3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5AE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2EC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有效推动</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87A3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2E5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82FF">
            <w:pPr>
              <w:jc w:val="center"/>
              <w:rPr>
                <w:rFonts w:hint="eastAsia" w:ascii="仿宋_GB2312" w:hAnsi="仿宋_GB2312" w:eastAsia="仿宋_GB2312" w:cs="仿宋_GB2312"/>
                <w:i w:val="0"/>
                <w:iCs w:val="0"/>
                <w:color w:val="000000"/>
                <w:sz w:val="18"/>
                <w:szCs w:val="18"/>
                <w:u w:val="none"/>
              </w:rPr>
            </w:pPr>
          </w:p>
        </w:tc>
      </w:tr>
      <w:tr w14:paraId="3B40A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13"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86902">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65FD6C9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vMerge w:val="restart"/>
            <w:tcBorders>
              <w:top w:val="single" w:color="000000" w:sz="4" w:space="0"/>
              <w:left w:val="single" w:color="000000" w:sz="4" w:space="0"/>
              <w:right w:val="single" w:color="000000" w:sz="4" w:space="0"/>
            </w:tcBorders>
            <w:shd w:val="clear" w:color="auto" w:fill="auto"/>
            <w:vAlign w:val="center"/>
          </w:tcPr>
          <w:p w14:paraId="3B6FFA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302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自治区工艺美术大师参加培训人员满意度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4E57">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lang w:val="en-US" w:eastAsia="zh-CN"/>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00B7">
            <w:pPr>
              <w:jc w:val="center"/>
              <w:rPr>
                <w:rFonts w:hint="default" w:ascii="仿宋_GB2312" w:hAnsi="仿宋_GB2312" w:eastAsia="仿宋_GB2312" w:cs="仿宋_GB2312"/>
                <w:i w:val="0"/>
                <w:iCs w:val="0"/>
                <w:color w:val="000000"/>
                <w:sz w:val="18"/>
                <w:szCs w:val="18"/>
                <w:u w:val="none"/>
                <w:lang w:val="en-US" w:eastAsia="zh-CN"/>
              </w:rPr>
            </w:pPr>
            <w:r>
              <w:rPr>
                <w:rFonts w:hint="default" w:ascii="仿宋_GB2312" w:hAnsi="仿宋_GB2312" w:eastAsia="仿宋_GB2312" w:cs="仿宋_GB2312"/>
                <w:i w:val="0"/>
                <w:iCs w:val="0"/>
                <w:color w:val="000000"/>
                <w:sz w:val="18"/>
                <w:szCs w:val="18"/>
                <w:u w:val="none"/>
                <w:lang w:val="en-US"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A36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E29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8E8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C56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67A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DB3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577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0CE1A">
            <w:pPr>
              <w:jc w:val="center"/>
              <w:rPr>
                <w:rFonts w:hint="eastAsia" w:ascii="仿宋_GB2312" w:hAnsi="仿宋_GB2312" w:eastAsia="仿宋_GB2312" w:cs="仿宋_GB2312"/>
                <w:i w:val="0"/>
                <w:iCs w:val="0"/>
                <w:color w:val="000000"/>
                <w:sz w:val="18"/>
                <w:szCs w:val="18"/>
                <w:u w:val="none"/>
              </w:rPr>
            </w:pPr>
          </w:p>
        </w:tc>
      </w:tr>
      <w:tr w14:paraId="3F550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F9FE">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06E155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14:paraId="5E78A2B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BF35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自治区食品工业企业食品安全培训人员满意度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EF740">
            <w:pPr>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lang w:val="en-US" w:eastAsia="zh-CN"/>
              </w:rPr>
              <w: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26BC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A0D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33D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6A7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341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FA9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6B4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436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C65E">
            <w:pPr>
              <w:jc w:val="center"/>
              <w:rPr>
                <w:rFonts w:hint="eastAsia" w:ascii="仿宋_GB2312" w:hAnsi="仿宋_GB2312" w:eastAsia="仿宋_GB2312" w:cs="仿宋_GB2312"/>
                <w:i w:val="0"/>
                <w:iCs w:val="0"/>
                <w:color w:val="000000"/>
                <w:sz w:val="18"/>
                <w:szCs w:val="18"/>
                <w:u w:val="none"/>
              </w:rPr>
            </w:pPr>
          </w:p>
        </w:tc>
      </w:tr>
      <w:tr w14:paraId="1FE12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1E2C5E3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2191">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65FE3629">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0FD0D">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F9CC">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0BC2">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8952">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D212">
            <w:pPr>
              <w:rPr>
                <w:rFonts w:hint="eastAsia" w:ascii="仿宋_GB2312" w:hAnsi="仿宋_GB2312" w:eastAsia="仿宋_GB2312" w:cs="仿宋_GB2312"/>
                <w:i w:val="0"/>
                <w:iCs w:val="0"/>
                <w:color w:val="000000"/>
                <w:sz w:val="18"/>
                <w:szCs w:val="18"/>
                <w:u w:val="none"/>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BD80">
            <w:pPr>
              <w:rPr>
                <w:rFonts w:hint="eastAsia" w:ascii="仿宋_GB2312" w:hAnsi="仿宋_GB2312" w:eastAsia="仿宋_GB2312" w:cs="仿宋_GB2312"/>
                <w:i w:val="0"/>
                <w:iCs w:val="0"/>
                <w:color w:val="000000"/>
                <w:sz w:val="18"/>
                <w:szCs w:val="18"/>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8EA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81.86</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BB7C">
            <w:pPr>
              <w:rPr>
                <w:rFonts w:hint="eastAsia" w:ascii="仿宋_GB2312" w:hAnsi="仿宋_GB2312" w:eastAsia="仿宋_GB2312" w:cs="仿宋_GB2312"/>
                <w:i w:val="0"/>
                <w:iCs w:val="0"/>
                <w:color w:val="000000"/>
                <w:sz w:val="18"/>
                <w:szCs w:val="18"/>
                <w:u w:val="none"/>
              </w:rPr>
            </w:pPr>
          </w:p>
        </w:tc>
      </w:tr>
    </w:tbl>
    <w:p w14:paraId="1E7F523D">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584132-1E2E-49C0-9589-E52B8D4755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98EDB54-3E56-4AC2-9044-79FE354107E2}"/>
  </w:font>
  <w:font w:name="华文中宋">
    <w:altName w:val="宋体"/>
    <w:panose1 w:val="02010600040101010101"/>
    <w:charset w:val="86"/>
    <w:family w:val="auto"/>
    <w:pitch w:val="default"/>
    <w:sig w:usb0="00000000" w:usb1="00000000" w:usb2="00000000" w:usb3="00000000" w:csb0="0004009F" w:csb1="DFD70000"/>
    <w:embedRegular r:id="rId3" w:fontKey="{D13F0366-87E2-48C6-B0D2-A464FF0A9FAF}"/>
  </w:font>
  <w:font w:name="方正小标宋_GBK">
    <w:panose1 w:val="02000000000000000000"/>
    <w:charset w:val="86"/>
    <w:family w:val="script"/>
    <w:pitch w:val="default"/>
    <w:sig w:usb0="A00002BF" w:usb1="38CF7CFA" w:usb2="00082016" w:usb3="00000000" w:csb0="00040001" w:csb1="00000000"/>
    <w:embedRegular r:id="rId4" w:fontKey="{5CD86AB1-ADAC-4599-9529-CA9DE70711ED}"/>
  </w:font>
  <w:font w:name="楷体_GB2312">
    <w:panose1 w:val="02010609030101010101"/>
    <w:charset w:val="86"/>
    <w:family w:val="auto"/>
    <w:pitch w:val="default"/>
    <w:sig w:usb0="00000001" w:usb1="080E0000" w:usb2="00000000" w:usb3="00000000" w:csb0="00040000" w:csb1="00000000"/>
    <w:embedRegular r:id="rId5" w:fontKey="{3A76B226-1E80-4F54-A667-4CC972B860E7}"/>
  </w:font>
  <w:font w:name="方正仿宋_GBK">
    <w:altName w:val="微软雅黑"/>
    <w:panose1 w:val="02000000000000000000"/>
    <w:charset w:val="86"/>
    <w:family w:val="auto"/>
    <w:pitch w:val="default"/>
    <w:sig w:usb0="00000000" w:usb1="00000000" w:usb2="00000000" w:usb3="00000000" w:csb0="00040000" w:csb1="00000000"/>
    <w:embedRegular r:id="rId6" w:fontKey="{0BDDAD4C-CDAE-49C4-B12C-B49B18AAF4D7}"/>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02EC3FAA-EFB6-49D8-A077-C2BF32C420AB}"/>
  </w:font>
  <w:font w:name="方正小标宋简体">
    <w:altName w:val="黑体"/>
    <w:panose1 w:val="02000000000000000000"/>
    <w:charset w:val="86"/>
    <w:family w:val="auto"/>
    <w:pitch w:val="default"/>
    <w:sig w:usb0="00000000" w:usb1="00000000" w:usb2="00000012" w:usb3="00000000" w:csb0="00040001" w:csb1="00000000"/>
    <w:embedRegular r:id="rId8" w:fontKey="{4DE021A0-2B37-49FB-8CBE-9714B00C6B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504AA84">
        <w:pPr>
          <w:pStyle w:val="8"/>
          <w:jc w:val="center"/>
        </w:pPr>
        <w:r>
          <w:fldChar w:fldCharType="begin"/>
        </w:r>
        <w:r>
          <w:instrText xml:space="preserve">PAGE   \* MERGEFORMAT</w:instrText>
        </w:r>
        <w:r>
          <w:fldChar w:fldCharType="separate"/>
        </w:r>
        <w:r>
          <w:rPr>
            <w:lang w:val="zh-CN"/>
          </w:rPr>
          <w:t>13</w:t>
        </w:r>
        <w:r>
          <w:fldChar w:fldCharType="end"/>
        </w:r>
      </w:p>
    </w:sdtContent>
  </w:sdt>
  <w:p w14:paraId="1A142AA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5DF6402"/>
    <w:rsid w:val="05E66C58"/>
    <w:rsid w:val="07397B77"/>
    <w:rsid w:val="0AD007F3"/>
    <w:rsid w:val="0E3C619F"/>
    <w:rsid w:val="11170296"/>
    <w:rsid w:val="13471461"/>
    <w:rsid w:val="13B90F01"/>
    <w:rsid w:val="13EF570E"/>
    <w:rsid w:val="155E4C4D"/>
    <w:rsid w:val="17462648"/>
    <w:rsid w:val="181066D2"/>
    <w:rsid w:val="1A0C0247"/>
    <w:rsid w:val="1C671E73"/>
    <w:rsid w:val="1D1125A5"/>
    <w:rsid w:val="1D322C47"/>
    <w:rsid w:val="1D920760"/>
    <w:rsid w:val="23616034"/>
    <w:rsid w:val="23D4607E"/>
    <w:rsid w:val="24480FA2"/>
    <w:rsid w:val="24BA115F"/>
    <w:rsid w:val="25227A45"/>
    <w:rsid w:val="26AC3A6A"/>
    <w:rsid w:val="281178FD"/>
    <w:rsid w:val="2B9D7E25"/>
    <w:rsid w:val="2C7C7A3B"/>
    <w:rsid w:val="2EFC0D68"/>
    <w:rsid w:val="2F364819"/>
    <w:rsid w:val="2FD63906"/>
    <w:rsid w:val="37215DAE"/>
    <w:rsid w:val="382A2A41"/>
    <w:rsid w:val="38CA40DD"/>
    <w:rsid w:val="395F2B56"/>
    <w:rsid w:val="3A616D8E"/>
    <w:rsid w:val="3BBA0580"/>
    <w:rsid w:val="3BECE841"/>
    <w:rsid w:val="3CDE204C"/>
    <w:rsid w:val="3D363C36"/>
    <w:rsid w:val="3E9C3F6D"/>
    <w:rsid w:val="3F5A59CA"/>
    <w:rsid w:val="3FF7797D"/>
    <w:rsid w:val="43985FF2"/>
    <w:rsid w:val="46690BD8"/>
    <w:rsid w:val="49CD76D0"/>
    <w:rsid w:val="49F70BF1"/>
    <w:rsid w:val="4B4340EE"/>
    <w:rsid w:val="4BEA2D62"/>
    <w:rsid w:val="4BF06537"/>
    <w:rsid w:val="503D507A"/>
    <w:rsid w:val="51FA74D0"/>
    <w:rsid w:val="52AA4A52"/>
    <w:rsid w:val="57EF1C9F"/>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106E29"/>
    <w:rsid w:val="642B176B"/>
    <w:rsid w:val="643EE26D"/>
    <w:rsid w:val="656019A0"/>
    <w:rsid w:val="65F242EE"/>
    <w:rsid w:val="666D7E19"/>
    <w:rsid w:val="68376930"/>
    <w:rsid w:val="68F91E38"/>
    <w:rsid w:val="69767E03"/>
    <w:rsid w:val="6B3158B9"/>
    <w:rsid w:val="6BA02A3F"/>
    <w:rsid w:val="6BBF253B"/>
    <w:rsid w:val="6C1E5A53"/>
    <w:rsid w:val="6DD20F3C"/>
    <w:rsid w:val="6F5C41AC"/>
    <w:rsid w:val="6FAF6C78"/>
    <w:rsid w:val="716167CC"/>
    <w:rsid w:val="718A7AD1"/>
    <w:rsid w:val="72A44BC2"/>
    <w:rsid w:val="7317C656"/>
    <w:rsid w:val="734ED73F"/>
    <w:rsid w:val="73C82B32"/>
    <w:rsid w:val="73F501EB"/>
    <w:rsid w:val="73F94DAE"/>
    <w:rsid w:val="74220495"/>
    <w:rsid w:val="747D1B6F"/>
    <w:rsid w:val="749E5641"/>
    <w:rsid w:val="76271066"/>
    <w:rsid w:val="776FF713"/>
    <w:rsid w:val="77FD8BE9"/>
    <w:rsid w:val="78000AED"/>
    <w:rsid w:val="79A9BD3F"/>
    <w:rsid w:val="79D74B01"/>
    <w:rsid w:val="7B776F12"/>
    <w:rsid w:val="7BFFFDD0"/>
    <w:rsid w:val="7C336E5F"/>
    <w:rsid w:val="7C8D4919"/>
    <w:rsid w:val="7D4F9402"/>
    <w:rsid w:val="7D7A5F86"/>
    <w:rsid w:val="7E230551"/>
    <w:rsid w:val="7E4B683A"/>
    <w:rsid w:val="7E5E656D"/>
    <w:rsid w:val="7E8F2BCB"/>
    <w:rsid w:val="7EEF80D5"/>
    <w:rsid w:val="7F37BB4E"/>
    <w:rsid w:val="7FEF918E"/>
    <w:rsid w:val="7FF4FB6F"/>
    <w:rsid w:val="7FF7FF27"/>
    <w:rsid w:val="7FFDF714"/>
    <w:rsid w:val="AF3FCD8C"/>
    <w:rsid w:val="B9FA2A43"/>
    <w:rsid w:val="BDFFC61C"/>
    <w:rsid w:val="BF7BA1E4"/>
    <w:rsid w:val="BFDF04FA"/>
    <w:rsid w:val="BFE227EF"/>
    <w:rsid w:val="C3A735E7"/>
    <w:rsid w:val="CF2A1ABD"/>
    <w:rsid w:val="DA7D3CD9"/>
    <w:rsid w:val="DBDC0ADA"/>
    <w:rsid w:val="DCDFBD86"/>
    <w:rsid w:val="DEDE2B06"/>
    <w:rsid w:val="DFBF6462"/>
    <w:rsid w:val="E7773746"/>
    <w:rsid w:val="EBFA31C2"/>
    <w:rsid w:val="EFC7A098"/>
    <w:rsid w:val="F3F4A11B"/>
    <w:rsid w:val="F7DDB451"/>
    <w:rsid w:val="F9FD7907"/>
    <w:rsid w:val="FAEF933D"/>
    <w:rsid w:val="FB3A4A6A"/>
    <w:rsid w:val="FCAF2469"/>
    <w:rsid w:val="FEB94855"/>
    <w:rsid w:val="FEF7C701"/>
    <w:rsid w:val="FF6C4049"/>
    <w:rsid w:val="FF78F63F"/>
    <w:rsid w:val="FF8D2000"/>
    <w:rsid w:val="FFF7B066"/>
    <w:rsid w:val="FFFFD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10764</Words>
  <Characters>11224</Characters>
  <Lines>58</Lines>
  <Paragraphs>16</Paragraphs>
  <TotalTime>4</TotalTime>
  <ScaleCrop>false</ScaleCrop>
  <LinksUpToDate>false</LinksUpToDate>
  <CharactersWithSpaces>11241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2023-03-10T13:13:00Z</dcterms:created>
  <dc:creator>审核人</dc:creator>
  <cp:lastModifiedBy>久溺深海</cp:lastModifiedBy>
  <dcterms:modified xsi:type="dcterms:W3CDTF">2025-08-27T08:34:32Z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6BFBB83C60BF4FAD9873768E0FD05D47_13</vt:lpwstr>
  </property>
  <property fmtid="{D5CDD505-2E9C-101B-9397-08002B2CF9AE}" pid="4" name="KSOTemplateDocerSaveRecord">
    <vt:lpwstr>eyJoZGlkIjoiNmZkMjYyYzAxYjhmOGVmYjRhNDdiNWU4MjMwYTAyNjgiLCJ1c2VySWQiOiIyNTIzNDE3MTMifQ==</vt:lpwstr>
  </property>
</Properties>
</file>