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CC93C">
      <w:pPr>
        <w:spacing w:line="540" w:lineRule="exact"/>
        <w:rPr>
          <w:rFonts w:eastAsia="华文中宋"/>
          <w:b/>
          <w:kern w:val="0"/>
          <w:sz w:val="72"/>
          <w:szCs w:val="72"/>
        </w:rPr>
      </w:pPr>
    </w:p>
    <w:p w14:paraId="215FDF6F">
      <w:pPr>
        <w:spacing w:line="540" w:lineRule="exact"/>
        <w:jc w:val="center"/>
        <w:rPr>
          <w:rFonts w:eastAsia="华文中宋"/>
          <w:b/>
          <w:kern w:val="0"/>
          <w:sz w:val="52"/>
          <w:szCs w:val="52"/>
        </w:rPr>
      </w:pPr>
    </w:p>
    <w:p w14:paraId="5B24086A">
      <w:pPr>
        <w:spacing w:line="540" w:lineRule="exact"/>
        <w:jc w:val="center"/>
        <w:rPr>
          <w:rFonts w:eastAsia="华文中宋"/>
          <w:b/>
          <w:kern w:val="0"/>
          <w:sz w:val="52"/>
          <w:szCs w:val="52"/>
        </w:rPr>
      </w:pPr>
    </w:p>
    <w:p w14:paraId="4E94460C">
      <w:pPr>
        <w:spacing w:line="540" w:lineRule="exact"/>
        <w:jc w:val="center"/>
        <w:rPr>
          <w:rFonts w:eastAsia="方正小标宋简体"/>
          <w:kern w:val="0"/>
          <w:sz w:val="48"/>
          <w:szCs w:val="48"/>
        </w:rPr>
      </w:pPr>
      <w:r>
        <w:rPr>
          <w:rFonts w:hint="default" w:ascii="Times New Roman" w:hAnsi="Times New Roman" w:eastAsia="方正小标宋简体" w:cs="Times New Roman"/>
          <w:kern w:val="0"/>
          <w:sz w:val="48"/>
          <w:szCs w:val="48"/>
          <w:lang w:eastAsia="zh-CN"/>
        </w:rPr>
        <w:t>自治区战略性新兴产业专项</w:t>
      </w:r>
      <w:r>
        <w:rPr>
          <w:rFonts w:eastAsia="方正小标宋简体"/>
          <w:kern w:val="0"/>
          <w:sz w:val="48"/>
          <w:szCs w:val="48"/>
        </w:rPr>
        <w:t>资金项目</w:t>
      </w:r>
    </w:p>
    <w:p w14:paraId="2F0FBC99">
      <w:pPr>
        <w:spacing w:line="540" w:lineRule="exact"/>
        <w:jc w:val="center"/>
        <w:rPr>
          <w:rFonts w:eastAsia="方正小标宋简体"/>
          <w:kern w:val="0"/>
          <w:sz w:val="48"/>
          <w:szCs w:val="48"/>
        </w:rPr>
      </w:pPr>
      <w:r>
        <w:rPr>
          <w:rFonts w:eastAsia="方正小标宋简体"/>
          <w:kern w:val="0"/>
          <w:sz w:val="48"/>
          <w:szCs w:val="48"/>
        </w:rPr>
        <w:t>支出绩效评价报告</w:t>
      </w:r>
    </w:p>
    <w:p w14:paraId="26F83C11">
      <w:pPr>
        <w:spacing w:line="540" w:lineRule="exact"/>
        <w:jc w:val="center"/>
        <w:rPr>
          <w:rFonts w:eastAsia="华文中宋"/>
          <w:b/>
          <w:kern w:val="0"/>
          <w:sz w:val="52"/>
          <w:szCs w:val="52"/>
        </w:rPr>
      </w:pPr>
    </w:p>
    <w:p w14:paraId="3AE02617">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4</w:t>
      </w:r>
      <w:r>
        <w:rPr>
          <w:rFonts w:eastAsia="仿宋_GB2312"/>
          <w:kern w:val="0"/>
          <w:sz w:val="36"/>
          <w:szCs w:val="36"/>
        </w:rPr>
        <w:t>年度）</w:t>
      </w:r>
    </w:p>
    <w:p w14:paraId="5F9BBFF8">
      <w:pPr>
        <w:spacing w:line="540" w:lineRule="exact"/>
        <w:jc w:val="center"/>
        <w:rPr>
          <w:rFonts w:eastAsia="仿宋_GB2312"/>
          <w:kern w:val="0"/>
          <w:sz w:val="30"/>
          <w:szCs w:val="30"/>
        </w:rPr>
      </w:pPr>
    </w:p>
    <w:p w14:paraId="298461D9">
      <w:pPr>
        <w:spacing w:line="540" w:lineRule="exact"/>
        <w:jc w:val="center"/>
        <w:rPr>
          <w:rFonts w:eastAsia="仿宋_GB2312"/>
          <w:kern w:val="0"/>
          <w:sz w:val="30"/>
          <w:szCs w:val="30"/>
        </w:rPr>
      </w:pPr>
    </w:p>
    <w:p w14:paraId="1A90A3DF">
      <w:pPr>
        <w:spacing w:line="540" w:lineRule="exact"/>
        <w:jc w:val="center"/>
        <w:rPr>
          <w:rFonts w:eastAsia="仿宋_GB2312"/>
          <w:kern w:val="0"/>
          <w:sz w:val="30"/>
          <w:szCs w:val="30"/>
        </w:rPr>
      </w:pPr>
    </w:p>
    <w:p w14:paraId="336BBEC1">
      <w:pPr>
        <w:spacing w:line="540" w:lineRule="exact"/>
        <w:jc w:val="center"/>
        <w:rPr>
          <w:rFonts w:eastAsia="仿宋_GB2312"/>
          <w:kern w:val="0"/>
          <w:sz w:val="30"/>
          <w:szCs w:val="30"/>
        </w:rPr>
      </w:pPr>
    </w:p>
    <w:p w14:paraId="4FEA89CD">
      <w:pPr>
        <w:spacing w:line="540" w:lineRule="exact"/>
        <w:rPr>
          <w:rFonts w:eastAsia="仿宋_GB2312"/>
          <w:kern w:val="0"/>
          <w:sz w:val="30"/>
          <w:szCs w:val="30"/>
        </w:rPr>
      </w:pPr>
    </w:p>
    <w:p w14:paraId="44134AF8">
      <w:pPr>
        <w:spacing w:line="700" w:lineRule="exact"/>
        <w:ind w:left="1436" w:leftChars="684" w:firstLine="0" w:firstLineChars="0"/>
        <w:jc w:val="left"/>
        <w:rPr>
          <w:rFonts w:hint="default" w:eastAsia="仿宋_GB2312"/>
          <w:kern w:val="0"/>
          <w:sz w:val="36"/>
          <w:szCs w:val="36"/>
          <w:lang w:eastAsia="zh-CN"/>
        </w:rPr>
      </w:pPr>
      <w:r>
        <w:rPr>
          <w:rFonts w:eastAsia="仿宋_GB2312"/>
          <w:kern w:val="0"/>
          <w:sz w:val="36"/>
          <w:szCs w:val="36"/>
        </w:rPr>
        <w:t>项目名称：</w:t>
      </w:r>
      <w:r>
        <w:rPr>
          <w:rFonts w:hint="eastAsia" w:eastAsia="仿宋_GB2312"/>
          <w:spacing w:val="-20"/>
          <w:kern w:val="0"/>
          <w:sz w:val="36"/>
          <w:szCs w:val="36"/>
        </w:rPr>
        <w:t>自治区战略性新兴产业专项资金项目</w:t>
      </w:r>
      <w:r>
        <w:rPr>
          <w:rFonts w:eastAsia="仿宋_GB2312"/>
          <w:kern w:val="0"/>
          <w:sz w:val="36"/>
          <w:szCs w:val="36"/>
        </w:rPr>
        <w:t>实施单位（公章）：</w:t>
      </w:r>
      <w:r>
        <w:rPr>
          <w:rFonts w:hint="default" w:eastAsia="仿宋_GB2312"/>
          <w:kern w:val="0"/>
          <w:sz w:val="36"/>
          <w:szCs w:val="36"/>
          <w:lang w:eastAsia="zh-CN"/>
        </w:rPr>
        <w:t>自治区工业和信息化厅</w:t>
      </w:r>
    </w:p>
    <w:p w14:paraId="4ADE3BE8">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万嘉钰</w:t>
      </w:r>
    </w:p>
    <w:p w14:paraId="2635BD8A">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2025</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11</w:t>
      </w:r>
      <w:r>
        <w:rPr>
          <w:rFonts w:eastAsia="仿宋_GB2312"/>
          <w:kern w:val="0"/>
          <w:sz w:val="36"/>
          <w:szCs w:val="36"/>
        </w:rPr>
        <w:t>日</w:t>
      </w:r>
    </w:p>
    <w:p w14:paraId="1C7F7BF3">
      <w:pPr>
        <w:spacing w:line="540" w:lineRule="exact"/>
        <w:jc w:val="center"/>
        <w:rPr>
          <w:rFonts w:eastAsia="仿宋_GB2312"/>
          <w:kern w:val="0"/>
          <w:sz w:val="30"/>
          <w:szCs w:val="30"/>
        </w:rPr>
      </w:pPr>
    </w:p>
    <w:p w14:paraId="1525D36D">
      <w:pPr>
        <w:spacing w:line="540" w:lineRule="exact"/>
        <w:rPr>
          <w:rStyle w:val="23"/>
          <w:rFonts w:eastAsia="黑体"/>
          <w:b w:val="0"/>
          <w:spacing w:val="-4"/>
          <w:sz w:val="32"/>
          <w:szCs w:val="32"/>
        </w:rPr>
      </w:pPr>
    </w:p>
    <w:p w14:paraId="2C647069">
      <w:pPr>
        <w:spacing w:line="540" w:lineRule="exact"/>
        <w:ind w:firstLine="640"/>
        <w:rPr>
          <w:rStyle w:val="23"/>
          <w:rFonts w:eastAsia="黑体"/>
          <w:b w:val="0"/>
          <w:spacing w:val="-4"/>
          <w:sz w:val="32"/>
          <w:szCs w:val="32"/>
        </w:rPr>
      </w:pPr>
    </w:p>
    <w:p w14:paraId="5603D832">
      <w:pPr>
        <w:spacing w:line="540" w:lineRule="exact"/>
        <w:rPr>
          <w:rStyle w:val="23"/>
          <w:rFonts w:eastAsia="黑体"/>
          <w:b w:val="0"/>
          <w:spacing w:val="-4"/>
          <w:sz w:val="32"/>
          <w:szCs w:val="32"/>
        </w:rPr>
      </w:pPr>
    </w:p>
    <w:p w14:paraId="5C328AC4"/>
    <w:p w14:paraId="4EC31FE6">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eastAsia="黑体"/>
          <w:bCs/>
          <w:sz w:val="32"/>
          <w:szCs w:val="32"/>
        </w:rPr>
      </w:pPr>
      <w:r>
        <w:rPr>
          <w:rFonts w:eastAsia="黑体"/>
          <w:bCs/>
          <w:sz w:val="32"/>
          <w:szCs w:val="32"/>
        </w:rPr>
        <w:t>一、基本情况</w:t>
      </w:r>
    </w:p>
    <w:p w14:paraId="4A8B83D6">
      <w:pPr>
        <w:keepNext w:val="0"/>
        <w:keepLines w:val="0"/>
        <w:pageBreakBefore w:val="0"/>
        <w:kinsoku/>
        <w:wordWrap/>
        <w:overflowPunct/>
        <w:topLinePunct w:val="0"/>
        <w:autoSpaceDE/>
        <w:autoSpaceDN/>
        <w:bidi w:val="0"/>
        <w:adjustRightInd/>
        <w:snapToGrid/>
        <w:spacing w:line="520" w:lineRule="exact"/>
        <w:ind w:firstLine="641"/>
        <w:textAlignment w:val="auto"/>
        <w:rPr>
          <w:rFonts w:eastAsia="楷体_GB2312"/>
          <w:b/>
          <w:bCs/>
          <w:sz w:val="32"/>
          <w:szCs w:val="32"/>
        </w:rPr>
      </w:pPr>
      <w:r>
        <w:rPr>
          <w:rFonts w:eastAsia="楷体_GB2312"/>
          <w:b/>
          <w:bCs/>
          <w:sz w:val="32"/>
          <w:szCs w:val="32"/>
        </w:rPr>
        <w:t>（一）项目概况</w:t>
      </w:r>
    </w:p>
    <w:p w14:paraId="376AB828">
      <w:pPr>
        <w:keepNext w:val="0"/>
        <w:keepLines w:val="0"/>
        <w:pageBreakBefore w:val="0"/>
        <w:kinsoku/>
        <w:wordWrap/>
        <w:overflowPunct/>
        <w:topLinePunct w:val="0"/>
        <w:autoSpaceDE/>
        <w:autoSpaceDN/>
        <w:bidi w:val="0"/>
        <w:adjustRightInd/>
        <w:snapToGrid/>
        <w:spacing w:line="520" w:lineRule="exact"/>
        <w:ind w:firstLine="641"/>
        <w:textAlignment w:val="auto"/>
        <w:rPr>
          <w:rFonts w:eastAsia="仿宋_GB2312"/>
          <w:b/>
          <w:bCs/>
          <w:sz w:val="32"/>
          <w:szCs w:val="32"/>
        </w:rPr>
      </w:pPr>
      <w:r>
        <w:rPr>
          <w:rFonts w:eastAsia="仿宋_GB2312"/>
          <w:b/>
          <w:bCs/>
          <w:sz w:val="32"/>
          <w:szCs w:val="32"/>
        </w:rPr>
        <w:t>1、项目背景</w:t>
      </w:r>
    </w:p>
    <w:p w14:paraId="2B0A6FF2">
      <w:pPr>
        <w:keepNext w:val="0"/>
        <w:keepLines w:val="0"/>
        <w:pageBreakBefore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2011年自治区</w:t>
      </w:r>
      <w:r>
        <w:rPr>
          <w:rFonts w:hint="eastAsia" w:ascii="仿宋_GB2312" w:hAnsi="仿宋_GB2312" w:eastAsia="仿宋_GB2312" w:cs="仿宋_GB2312"/>
          <w:b w:val="0"/>
          <w:bCs w:val="0"/>
          <w:color w:val="auto"/>
          <w:sz w:val="32"/>
          <w:szCs w:val="32"/>
        </w:rPr>
        <w:t>党委、</w:t>
      </w:r>
      <w:r>
        <w:rPr>
          <w:rFonts w:hint="eastAsia" w:ascii="仿宋_GB2312" w:hAnsi="仿宋_GB2312" w:eastAsia="仿宋_GB2312" w:cs="仿宋_GB2312"/>
          <w:color w:val="auto"/>
          <w:sz w:val="32"/>
          <w:szCs w:val="32"/>
        </w:rPr>
        <w:t>人民政府印发了《关于加快培育和发展战略性新兴产业的意见》</w:t>
      </w:r>
      <w:r>
        <w:rPr>
          <w:rFonts w:hint="eastAsia" w:ascii="仿宋_GB2312" w:hAnsi="仿宋_GB2312" w:eastAsia="仿宋_GB2312" w:cs="仿宋_GB2312"/>
          <w:b w:val="0"/>
          <w:bCs w:val="0"/>
          <w:color w:val="auto"/>
          <w:sz w:val="32"/>
          <w:szCs w:val="32"/>
        </w:rPr>
        <w:t>(新党发〔2011〕17号)</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color w:val="auto"/>
          <w:sz w:val="32"/>
          <w:szCs w:val="32"/>
        </w:rPr>
        <w:t>同年设立</w:t>
      </w:r>
      <w:r>
        <w:rPr>
          <w:rFonts w:hint="eastAsia" w:ascii="仿宋_GB2312" w:hAnsi="仿宋_GB2312" w:eastAsia="仿宋_GB2312" w:cs="仿宋_GB2312"/>
          <w:color w:val="auto"/>
          <w:sz w:val="32"/>
          <w:szCs w:val="32"/>
          <w:lang w:eastAsia="zh-CN"/>
        </w:rPr>
        <w:t>了自治区</w:t>
      </w:r>
      <w:r>
        <w:rPr>
          <w:rFonts w:hint="eastAsia" w:ascii="仿宋_GB2312" w:hAnsi="仿宋_GB2312" w:eastAsia="仿宋_GB2312" w:cs="仿宋_GB2312"/>
          <w:color w:val="auto"/>
          <w:sz w:val="32"/>
          <w:szCs w:val="32"/>
        </w:rPr>
        <w:t>战略性新兴产业专项资金</w:t>
      </w:r>
      <w:r>
        <w:rPr>
          <w:rFonts w:hint="eastAsia" w:ascii="仿宋_GB2312" w:hAnsi="仿宋_GB2312" w:eastAsia="仿宋_GB2312" w:cs="仿宋_GB2312"/>
          <w:color w:val="auto"/>
          <w:sz w:val="32"/>
          <w:szCs w:val="32"/>
          <w:lang w:eastAsia="zh-CN"/>
        </w:rPr>
        <w:t>，用于支持战略性新兴产业发展</w:t>
      </w:r>
      <w:r>
        <w:rPr>
          <w:rFonts w:hint="eastAsia" w:ascii="仿宋_GB2312" w:hAnsi="仿宋_GB2312" w:eastAsia="仿宋_GB2312" w:cs="仿宋_GB2312"/>
          <w:color w:val="auto"/>
          <w:sz w:val="32"/>
          <w:szCs w:val="32"/>
        </w:rPr>
        <w:t>。2018年自治区</w:t>
      </w:r>
      <w:r>
        <w:rPr>
          <w:rFonts w:hint="eastAsia" w:ascii="仿宋_GB2312" w:hAnsi="仿宋_GB2312" w:eastAsia="仿宋_GB2312" w:cs="仿宋_GB2312"/>
          <w:color w:val="auto"/>
          <w:sz w:val="32"/>
          <w:szCs w:val="32"/>
          <w:lang w:eastAsia="zh-CN"/>
        </w:rPr>
        <w:t>财政暂停了</w:t>
      </w:r>
      <w:r>
        <w:rPr>
          <w:rFonts w:hint="eastAsia" w:ascii="仿宋_GB2312" w:hAnsi="仿宋_GB2312" w:eastAsia="仿宋_GB2312" w:cs="仿宋_GB2312"/>
          <w:color w:val="auto"/>
          <w:sz w:val="32"/>
          <w:szCs w:val="32"/>
        </w:rPr>
        <w:t>专项资金。</w:t>
      </w:r>
      <w:r>
        <w:rPr>
          <w:rFonts w:hint="eastAsia" w:ascii="仿宋_GB2312" w:hAnsi="仿宋_GB2312" w:eastAsia="仿宋_GB2312" w:cs="仿宋_GB2312"/>
          <w:color w:val="auto"/>
          <w:sz w:val="32"/>
          <w:szCs w:val="32"/>
          <w:lang w:val="en-US" w:eastAsia="zh-CN"/>
        </w:rPr>
        <w:t>2019年</w:t>
      </w:r>
      <w:r>
        <w:rPr>
          <w:rFonts w:hint="eastAsia" w:ascii="仿宋_GB2312" w:hAnsi="仿宋_GB2312" w:eastAsia="仿宋_GB2312" w:cs="仿宋_GB2312"/>
          <w:color w:val="auto"/>
          <w:sz w:val="32"/>
          <w:szCs w:val="32"/>
        </w:rPr>
        <w:t>经</w:t>
      </w:r>
      <w:r>
        <w:rPr>
          <w:rFonts w:hint="eastAsia" w:ascii="仿宋_GB2312" w:hAnsi="仿宋_GB2312" w:eastAsia="仿宋_GB2312" w:cs="仿宋_GB2312"/>
          <w:color w:val="auto"/>
          <w:sz w:val="32"/>
          <w:szCs w:val="32"/>
          <w:lang w:val="en-US" w:eastAsia="zh-CN"/>
        </w:rPr>
        <w:t>自治区</w:t>
      </w:r>
      <w:r>
        <w:rPr>
          <w:rFonts w:hint="eastAsia" w:ascii="仿宋_GB2312" w:hAnsi="仿宋_GB2312" w:eastAsia="仿宋_GB2312" w:cs="仿宋_GB2312"/>
          <w:color w:val="auto"/>
          <w:sz w:val="32"/>
          <w:szCs w:val="32"/>
        </w:rPr>
        <w:t>工信厅与财政厅协商并报请自治区人民政府和自治区人大批准，恢复</w:t>
      </w:r>
      <w:r>
        <w:rPr>
          <w:rFonts w:hint="eastAsia" w:ascii="仿宋_GB2312" w:hAnsi="仿宋_GB2312" w:eastAsia="仿宋_GB2312" w:cs="仿宋_GB2312"/>
          <w:color w:val="auto"/>
          <w:sz w:val="32"/>
          <w:szCs w:val="32"/>
          <w:lang w:eastAsia="zh-CN"/>
        </w:rPr>
        <w:t>了</w:t>
      </w:r>
      <w:r>
        <w:rPr>
          <w:rFonts w:hint="eastAsia" w:ascii="仿宋_GB2312" w:hAnsi="仿宋_GB2312" w:eastAsia="仿宋_GB2312" w:cs="仿宋_GB2312"/>
          <w:color w:val="auto"/>
          <w:sz w:val="32"/>
          <w:szCs w:val="32"/>
        </w:rPr>
        <w:t>自治区</w:t>
      </w:r>
      <w:r>
        <w:rPr>
          <w:rFonts w:hint="eastAsia" w:ascii="仿宋_GB2312" w:hAnsi="仿宋_GB2312" w:eastAsia="仿宋_GB2312" w:cs="仿宋_GB2312"/>
          <w:color w:val="auto"/>
          <w:sz w:val="32"/>
          <w:szCs w:val="32"/>
          <w:lang w:eastAsia="zh-CN"/>
        </w:rPr>
        <w:t>战略性新兴产业</w:t>
      </w:r>
      <w:r>
        <w:rPr>
          <w:rFonts w:hint="eastAsia" w:ascii="仿宋_GB2312" w:hAnsi="仿宋_GB2312" w:eastAsia="仿宋_GB2312" w:cs="仿宋_GB2312"/>
          <w:color w:val="auto"/>
          <w:sz w:val="32"/>
          <w:szCs w:val="32"/>
        </w:rPr>
        <w:t>专项资金。</w:t>
      </w:r>
    </w:p>
    <w:p w14:paraId="4902AAF6">
      <w:pPr>
        <w:pStyle w:val="2"/>
        <w:keepNext w:val="0"/>
        <w:keepLines w:val="0"/>
        <w:pageBreakBefore w:val="0"/>
        <w:numPr>
          <w:ilvl w:val="0"/>
          <w:numId w:val="1"/>
        </w:numPr>
        <w:kinsoku/>
        <w:wordWrap/>
        <w:overflowPunct/>
        <w:topLinePunct w:val="0"/>
        <w:autoSpaceDE/>
        <w:autoSpaceDN/>
        <w:bidi w:val="0"/>
        <w:adjustRightInd/>
        <w:snapToGrid/>
        <w:spacing w:before="0" w:after="0" w:line="520" w:lineRule="exact"/>
        <w:ind w:firstLine="643" w:firstLineChars="200"/>
        <w:jc w:val="both"/>
        <w:textAlignment w:val="auto"/>
        <w:rPr>
          <w:rFonts w:ascii="Times New Roman" w:hAnsi="Times New Roman" w:eastAsia="仿宋_GB2312"/>
          <w:kern w:val="2"/>
        </w:rPr>
      </w:pPr>
      <w:r>
        <w:rPr>
          <w:rFonts w:ascii="Times New Roman" w:hAnsi="Times New Roman" w:eastAsia="仿宋_GB2312"/>
          <w:kern w:val="2"/>
        </w:rPr>
        <w:t>项目主要内容：</w:t>
      </w:r>
    </w:p>
    <w:p w14:paraId="7A32B08B">
      <w:pPr>
        <w:keepNext w:val="0"/>
        <w:keepLines w:val="0"/>
        <w:pageBreakBefore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项目主要内容：202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年自治区</w:t>
      </w:r>
      <w:r>
        <w:rPr>
          <w:rFonts w:hint="eastAsia" w:ascii="仿宋_GB2312" w:hAnsi="仿宋_GB2312" w:eastAsia="仿宋_GB2312" w:cs="仿宋_GB2312"/>
          <w:color w:val="auto"/>
          <w:sz w:val="32"/>
          <w:szCs w:val="32"/>
          <w:lang w:eastAsia="zh-CN"/>
        </w:rPr>
        <w:t>战略性新兴产业</w:t>
      </w:r>
      <w:r>
        <w:rPr>
          <w:rFonts w:hint="eastAsia" w:ascii="仿宋_GB2312" w:hAnsi="仿宋_GB2312" w:eastAsia="仿宋_GB2312" w:cs="仿宋_GB2312"/>
          <w:color w:val="auto"/>
          <w:sz w:val="32"/>
          <w:szCs w:val="32"/>
        </w:rPr>
        <w:t>专项资金</w:t>
      </w:r>
      <w:r>
        <w:rPr>
          <w:rFonts w:hint="eastAsia" w:ascii="仿宋_GB2312" w:hAnsi="仿宋_GB2312" w:eastAsia="仿宋_GB2312" w:cs="仿宋_GB2312"/>
          <w:color w:val="auto"/>
          <w:sz w:val="32"/>
          <w:szCs w:val="32"/>
          <w:lang w:val="en-US" w:eastAsia="zh-CN"/>
        </w:rPr>
        <w:t>用于支持自治区战略新兴产业的发展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重点</w:t>
      </w:r>
      <w:r>
        <w:rPr>
          <w:rFonts w:hint="eastAsia" w:ascii="仿宋_GB2312" w:hAnsi="仿宋_GB2312" w:eastAsia="仿宋_GB2312" w:cs="仿宋_GB2312"/>
          <w:color w:val="auto"/>
          <w:sz w:val="32"/>
          <w:szCs w:val="32"/>
          <w:lang w:val="en-US" w:eastAsia="zh-CN"/>
        </w:rPr>
        <w:t>支持三</w:t>
      </w:r>
      <w:r>
        <w:rPr>
          <w:rFonts w:hint="eastAsia" w:ascii="仿宋_GB2312" w:hAnsi="仿宋_GB2312" w:eastAsia="仿宋_GB2312" w:cs="仿宋_GB2312"/>
          <w:color w:val="auto"/>
          <w:sz w:val="32"/>
          <w:szCs w:val="32"/>
        </w:rPr>
        <w:t>个方面：</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rPr>
        <w:t>自治区</w:t>
      </w:r>
      <w:r>
        <w:rPr>
          <w:rFonts w:hint="eastAsia" w:ascii="仿宋_GB2312" w:hAnsi="仿宋_GB2312" w:eastAsia="仿宋_GB2312" w:cs="仿宋_GB2312"/>
          <w:b w:val="0"/>
          <w:bCs w:val="0"/>
          <w:color w:val="auto"/>
          <w:sz w:val="32"/>
          <w:szCs w:val="32"/>
        </w:rPr>
        <w:t>重点战略性新兴产业</w:t>
      </w:r>
      <w:r>
        <w:rPr>
          <w:rFonts w:hint="eastAsia" w:ascii="仿宋_GB2312" w:hAnsi="仿宋_GB2312" w:eastAsia="仿宋_GB2312" w:cs="仿宋_GB2312"/>
          <w:b w:val="0"/>
          <w:bCs w:val="0"/>
          <w:color w:val="auto"/>
          <w:sz w:val="32"/>
          <w:szCs w:val="32"/>
          <w:lang w:eastAsia="zh-CN"/>
        </w:rPr>
        <w:t>建设</w:t>
      </w:r>
      <w:r>
        <w:rPr>
          <w:rFonts w:hint="eastAsia" w:ascii="仿宋_GB2312" w:hAnsi="仿宋_GB2312" w:eastAsia="仿宋_GB2312" w:cs="仿宋_GB2312"/>
          <w:b w:val="0"/>
          <w:bCs w:val="0"/>
          <w:color w:val="auto"/>
          <w:sz w:val="32"/>
          <w:szCs w:val="32"/>
        </w:rPr>
        <w:t>项目</w:t>
      </w:r>
      <w:r>
        <w:rPr>
          <w:rFonts w:hint="eastAsia" w:ascii="仿宋_GB2312" w:hAnsi="仿宋_GB2312" w:eastAsia="仿宋_GB2312" w:cs="仿宋_GB2312"/>
          <w:b w:val="0"/>
          <w:bCs w:val="0"/>
          <w:color w:val="auto"/>
          <w:sz w:val="32"/>
          <w:szCs w:val="32"/>
          <w:lang w:val="en-US" w:eastAsia="zh-CN"/>
        </w:rPr>
        <w:t>11</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b w:val="0"/>
          <w:bCs w:val="0"/>
          <w:color w:val="auto"/>
          <w:sz w:val="32"/>
          <w:szCs w:val="32"/>
          <w:lang w:eastAsia="zh-CN"/>
        </w:rPr>
        <w:t>新模式新业态应用</w:t>
      </w:r>
      <w:r>
        <w:rPr>
          <w:rFonts w:hint="eastAsia" w:ascii="仿宋_GB2312" w:hAnsi="仿宋_GB2312" w:eastAsia="仿宋_GB2312" w:cs="仿宋_GB2312"/>
          <w:b w:val="0"/>
          <w:bCs w:val="0"/>
          <w:color w:val="auto"/>
          <w:sz w:val="32"/>
          <w:szCs w:val="32"/>
        </w:rPr>
        <w:t>项目</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bCs/>
          <w:color w:val="auto"/>
          <w:sz w:val="32"/>
          <w:szCs w:val="32"/>
          <w:lang w:eastAsia="zh-CN"/>
        </w:rPr>
        <w:t>三是</w:t>
      </w:r>
      <w:r>
        <w:rPr>
          <w:rFonts w:hint="eastAsia" w:ascii="仿宋_GB2312" w:hAnsi="仿宋_GB2312" w:eastAsia="仿宋_GB2312" w:cs="仿宋_GB2312"/>
          <w:b w:val="0"/>
          <w:bCs w:val="0"/>
          <w:color w:val="auto"/>
          <w:sz w:val="32"/>
          <w:szCs w:val="32"/>
        </w:rPr>
        <w:t>首台（套）、首批次</w:t>
      </w:r>
      <w:r>
        <w:rPr>
          <w:rFonts w:hint="eastAsia" w:ascii="仿宋_GB2312" w:hAnsi="仿宋_GB2312" w:eastAsia="仿宋_GB2312" w:cs="仿宋_GB2312"/>
          <w:b w:val="0"/>
          <w:bCs w:val="0"/>
          <w:color w:val="auto"/>
          <w:sz w:val="32"/>
          <w:szCs w:val="32"/>
          <w:lang w:eastAsia="zh-CN"/>
        </w:rPr>
        <w:t>、首版次产品认定和奖励</w:t>
      </w:r>
      <w:r>
        <w:rPr>
          <w:rFonts w:hint="eastAsia" w:ascii="仿宋_GB2312" w:hAnsi="仿宋_GB2312" w:eastAsia="仿宋_GB2312" w:cs="仿宋_GB2312"/>
          <w:b w:val="0"/>
          <w:bCs w:val="0"/>
          <w:color w:val="auto"/>
          <w:sz w:val="32"/>
          <w:szCs w:val="32"/>
        </w:rPr>
        <w:t>项目</w:t>
      </w:r>
      <w:r>
        <w:rPr>
          <w:rFonts w:hint="eastAsia" w:ascii="仿宋_GB2312" w:hAnsi="仿宋_GB2312" w:eastAsia="仿宋_GB2312" w:cs="仿宋_GB2312"/>
          <w:b w:val="0"/>
          <w:bCs w:val="0"/>
          <w:color w:val="auto"/>
          <w:sz w:val="32"/>
          <w:szCs w:val="32"/>
          <w:lang w:val="en-US" w:eastAsia="zh-CN"/>
        </w:rPr>
        <w:t>9</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lang w:eastAsia="zh-CN"/>
        </w:rPr>
        <w:t>。</w:t>
      </w:r>
    </w:p>
    <w:p w14:paraId="57627E33">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eastAsia="仿宋_GB2312"/>
          <w:sz w:val="32"/>
          <w:szCs w:val="32"/>
          <w:highlight w:val="none"/>
        </w:rPr>
      </w:pPr>
      <w:r>
        <w:rPr>
          <w:rFonts w:eastAsia="仿宋_GB2312"/>
          <w:sz w:val="32"/>
          <w:szCs w:val="32"/>
        </w:rPr>
        <w:t>项目实施情况：项目目前已经完成实际设立的目标，项目在实施过程中严格按照目标设立的各阶段任务进行开展工作</w:t>
      </w:r>
      <w:r>
        <w:rPr>
          <w:rFonts w:hint="eastAsia" w:eastAsia="仿宋_GB2312"/>
          <w:sz w:val="32"/>
          <w:szCs w:val="32"/>
          <w:lang w:eastAsia="zh-CN"/>
        </w:rPr>
        <w:t>。</w:t>
      </w:r>
      <w:r>
        <w:rPr>
          <w:rFonts w:hint="eastAsia" w:eastAsia="仿宋_GB2312"/>
          <w:sz w:val="32"/>
          <w:szCs w:val="32"/>
        </w:rPr>
        <w:t>目前，项目资金已经拨付到位，企业已经使用专项资金开始执行项目建设或投入研发新产品，项目验收工作正在逐步开展。</w:t>
      </w:r>
    </w:p>
    <w:p w14:paraId="5311C183">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eastAsia="仿宋_GB2312"/>
          <w:b/>
          <w:bCs/>
          <w:sz w:val="32"/>
          <w:szCs w:val="32"/>
        </w:rPr>
      </w:pPr>
      <w:r>
        <w:rPr>
          <w:rFonts w:eastAsia="仿宋_GB2312"/>
          <w:b/>
          <w:bCs/>
          <w:sz w:val="32"/>
          <w:szCs w:val="32"/>
        </w:rPr>
        <w:t>3、资金投入和使用情况</w:t>
      </w:r>
    </w:p>
    <w:p w14:paraId="5CF278F1">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eastAsia="仿宋_GB2312"/>
          <w:sz w:val="20"/>
          <w:szCs w:val="20"/>
          <w:lang w:eastAsia="zh-CN"/>
        </w:rPr>
      </w:pPr>
      <w:r>
        <w:rPr>
          <w:rFonts w:eastAsia="仿宋_GB2312"/>
          <w:sz w:val="32"/>
          <w:szCs w:val="32"/>
        </w:rPr>
        <w:t>（1）资金</w:t>
      </w:r>
      <w:r>
        <w:rPr>
          <w:rFonts w:hint="eastAsia" w:eastAsia="仿宋_GB2312"/>
          <w:sz w:val="32"/>
          <w:szCs w:val="32"/>
          <w:lang w:eastAsia="zh-CN"/>
        </w:rPr>
        <w:t>投入情况</w:t>
      </w:r>
    </w:p>
    <w:p w14:paraId="1B6FE1D6">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highlight w:val="none"/>
          <w:lang w:val="en-US" w:eastAsia="zh-CN"/>
        </w:rPr>
        <w:t>该项目年初预算数800万元，全年预算数800万元，实际总投入800万元，该项目资金已全部落实到位，资金来源为财政拨款</w:t>
      </w:r>
      <w:r>
        <w:rPr>
          <w:rFonts w:hint="eastAsia" w:ascii="仿宋_GB2312" w:hAnsi="仿宋_GB2312" w:eastAsia="仿宋_GB2312" w:cs="仿宋_GB2312"/>
          <w:color w:val="auto"/>
          <w:sz w:val="32"/>
          <w:szCs w:val="32"/>
          <w:lang w:val="en-US" w:eastAsia="zh-CN"/>
        </w:rPr>
        <w:t>资金分配如下：</w:t>
      </w:r>
    </w:p>
    <w:p w14:paraId="4A44505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rPr>
        <w:t>1</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eastAsia="zh-CN"/>
        </w:rPr>
        <w:t>重点战略性新兴产业建设项目</w:t>
      </w:r>
      <w:r>
        <w:rPr>
          <w:rFonts w:hint="eastAsia" w:ascii="仿宋_GB2312" w:hAnsi="仿宋_GB2312" w:eastAsia="仿宋_GB2312" w:cs="仿宋_GB2312"/>
          <w:b w:val="0"/>
          <w:bCs w:val="0"/>
          <w:color w:val="auto"/>
          <w:sz w:val="32"/>
          <w:szCs w:val="32"/>
          <w:lang w:val="en-US" w:eastAsia="zh-CN"/>
        </w:rPr>
        <w:t>11</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color w:val="auto"/>
          <w:sz w:val="32"/>
          <w:szCs w:val="32"/>
          <w:lang w:val="en-US" w:eastAsia="zh-CN"/>
        </w:rPr>
        <w:t>按照《资金管理办法》中“对于总投资小于5亿元的项目给予不超过50万元的专项资金补助。投资总额5亿元以上、特别重大、产业带动效益较显著、填补产业链关键环节贡献较突出的项目，给予投资总额1%以内（最高不超过300万元）的专项资金补助。”的规定，对于投资在30亿元以上、30亿-5亿元、5亿-3亿、3亿-2亿、1亿-5000万、5000万-2000万，对11个项目支持20-100万元；共计505万元。</w:t>
      </w:r>
    </w:p>
    <w:p w14:paraId="7B373E6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rPr>
        <w:t>2</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eastAsia="zh-CN"/>
        </w:rPr>
        <w:t>新模式新业态</w:t>
      </w:r>
      <w:r>
        <w:rPr>
          <w:rFonts w:hint="eastAsia" w:ascii="仿宋_GB2312" w:hAnsi="仿宋_GB2312" w:eastAsia="仿宋_GB2312" w:cs="仿宋_GB2312"/>
          <w:b w:val="0"/>
          <w:bCs w:val="0"/>
          <w:color w:val="auto"/>
          <w:sz w:val="32"/>
          <w:szCs w:val="32"/>
        </w:rPr>
        <w:t>应用项目</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highlight w:val="none"/>
          <w:lang w:val="en-US" w:eastAsia="zh-CN"/>
        </w:rPr>
        <w:t>按照《资金管理办法》中“给予投资总额10%以内（最高不超过50万元）的专项资金补助。”的规定，对于投资较大（1亿元以上）的1个项目，建议支持35万元；对于投资较小（2000万元以下）的2个项目，建议每个支持25万元；共计85万元。</w:t>
      </w:r>
    </w:p>
    <w:p w14:paraId="11B4F8E4">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首台（套）、首批次</w:t>
      </w:r>
      <w:r>
        <w:rPr>
          <w:rFonts w:hint="eastAsia" w:ascii="仿宋_GB2312" w:hAnsi="仿宋_GB2312" w:eastAsia="仿宋_GB2312" w:cs="仿宋_GB2312"/>
          <w:b w:val="0"/>
          <w:bCs w:val="0"/>
          <w:color w:val="auto"/>
          <w:sz w:val="32"/>
          <w:szCs w:val="32"/>
          <w:lang w:eastAsia="zh-CN"/>
        </w:rPr>
        <w:t>、首版次产品认定和奖励项目</w:t>
      </w:r>
      <w:r>
        <w:rPr>
          <w:rFonts w:hint="eastAsia" w:ascii="仿宋_GB2312" w:hAnsi="仿宋_GB2312" w:eastAsia="仿宋_GB2312" w:cs="仿宋_GB2312"/>
          <w:b w:val="0"/>
          <w:bCs w:val="0"/>
          <w:color w:val="auto"/>
          <w:sz w:val="32"/>
          <w:szCs w:val="32"/>
          <w:lang w:val="en-US" w:eastAsia="zh-CN"/>
        </w:rPr>
        <w:t>9</w:t>
      </w:r>
      <w:r>
        <w:rPr>
          <w:rFonts w:hint="eastAsia" w:ascii="仿宋_GB2312" w:hAnsi="仿宋_GB2312" w:eastAsia="仿宋_GB2312" w:cs="仿宋_GB2312"/>
          <w:b w:val="0"/>
          <w:bCs w:val="0"/>
          <w:color w:val="auto"/>
          <w:sz w:val="32"/>
          <w:szCs w:val="32"/>
        </w:rPr>
        <w:t>项，</w:t>
      </w:r>
      <w:r>
        <w:rPr>
          <w:rFonts w:hint="eastAsia" w:ascii="仿宋_GB2312" w:hAnsi="仿宋_GB2312" w:eastAsia="仿宋_GB2312" w:cs="仿宋_GB2312"/>
          <w:b w:val="0"/>
          <w:bCs w:val="0"/>
          <w:color w:val="auto"/>
          <w:sz w:val="32"/>
          <w:szCs w:val="32"/>
          <w:highlight w:val="none"/>
          <w:lang w:val="en-US" w:eastAsia="zh-CN"/>
        </w:rPr>
        <w:t>按照《资金管理办法》中“按照研制单位已实现市场销售收入给予奖励，奖励金额原则上不超过产品销售收入总额的60%，奖励总额最高不超过100万元。”的规定，对于累计销售收入在1亿元以上、、1亿-1000万元以上、1000万元以下，对8个产品分别分配奖励资金20-30万元；同时，对于购买了首台（套）保险的新疆钵施然智能农机股份有限公司“4QZ-3200型自走式青贮饲料收获机”产品，在创新奖励的基础上再予以保费奖励10万元，以上共计210万元。</w:t>
      </w:r>
    </w:p>
    <w:p w14:paraId="29410BF9">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eastAsia="仿宋_GB2312"/>
          <w:sz w:val="32"/>
          <w:szCs w:val="32"/>
        </w:rPr>
      </w:pPr>
      <w:r>
        <w:rPr>
          <w:rFonts w:eastAsia="仿宋_GB2312"/>
          <w:sz w:val="32"/>
          <w:szCs w:val="32"/>
        </w:rPr>
        <w:t>（2）资金使用情况</w:t>
      </w:r>
      <w:bookmarkStart w:id="0" w:name="page10"/>
      <w:bookmarkEnd w:id="0"/>
    </w:p>
    <w:p w14:paraId="7A9650D1">
      <w:pPr>
        <w:pStyle w:val="2"/>
        <w:keepNext w:val="0"/>
        <w:keepLines w:val="0"/>
        <w:pageBreakBefore w:val="0"/>
        <w:kinsoku/>
        <w:wordWrap/>
        <w:overflowPunct/>
        <w:topLinePunct w:val="0"/>
        <w:autoSpaceDE/>
        <w:autoSpaceDN/>
        <w:bidi w:val="0"/>
        <w:adjustRightInd/>
        <w:snapToGrid/>
        <w:spacing w:before="0" w:after="0" w:line="520" w:lineRule="exact"/>
        <w:ind w:firstLine="640" w:firstLineChars="200"/>
        <w:jc w:val="both"/>
        <w:textAlignment w:val="auto"/>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CN"/>
        </w:rPr>
        <w:t>该</w:t>
      </w:r>
      <w:r>
        <w:rPr>
          <w:rFonts w:ascii="Times New Roman" w:hAnsi="Times New Roman" w:eastAsia="仿宋_GB2312"/>
          <w:b w:val="0"/>
          <w:bCs w:val="0"/>
          <w:kern w:val="2"/>
          <w:highlight w:val="none"/>
        </w:rPr>
        <w:t>项目</w:t>
      </w:r>
      <w:r>
        <w:rPr>
          <w:rFonts w:hint="eastAsia" w:ascii="Times New Roman" w:hAnsi="Times New Roman" w:eastAsia="仿宋_GB2312"/>
          <w:b w:val="0"/>
          <w:bCs w:val="0"/>
          <w:kern w:val="2"/>
          <w:highlight w:val="none"/>
          <w:lang w:eastAsia="zh-CN"/>
        </w:rPr>
        <w:t>年初</w:t>
      </w:r>
      <w:r>
        <w:rPr>
          <w:rFonts w:ascii="Times New Roman" w:hAnsi="Times New Roman" w:eastAsia="仿宋_GB2312"/>
          <w:b w:val="0"/>
          <w:bCs w:val="0"/>
          <w:kern w:val="2"/>
          <w:highlight w:val="none"/>
        </w:rPr>
        <w:t>预算</w:t>
      </w:r>
      <w:r>
        <w:rPr>
          <w:rFonts w:hint="eastAsia" w:ascii="Times New Roman" w:hAnsi="Times New Roman" w:eastAsia="仿宋_GB2312"/>
          <w:b w:val="0"/>
          <w:bCs w:val="0"/>
          <w:kern w:val="2"/>
          <w:highlight w:val="none"/>
          <w:lang w:eastAsia="zh-CN"/>
        </w:rPr>
        <w:t>数</w:t>
      </w:r>
      <w:r>
        <w:rPr>
          <w:rFonts w:hint="eastAsia" w:ascii="Times New Roman" w:hAnsi="Times New Roman" w:eastAsia="仿宋_GB2312"/>
          <w:b w:val="0"/>
          <w:bCs w:val="0"/>
          <w:kern w:val="2"/>
          <w:highlight w:val="none"/>
          <w:lang w:val="en-US" w:eastAsia="zh-CN"/>
        </w:rPr>
        <w:t>800万元</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eastAsia="zh-CN"/>
        </w:rPr>
        <w:t>全年预算数</w:t>
      </w:r>
      <w:r>
        <w:rPr>
          <w:rFonts w:hint="eastAsia" w:ascii="Times New Roman" w:hAnsi="Times New Roman" w:eastAsia="仿宋_GB2312"/>
          <w:b w:val="0"/>
          <w:bCs w:val="0"/>
          <w:kern w:val="2"/>
          <w:highlight w:val="none"/>
          <w:lang w:val="en-US" w:eastAsia="zh-CN"/>
        </w:rPr>
        <w:t>800万元，</w:t>
      </w:r>
      <w:r>
        <w:rPr>
          <w:rFonts w:hint="eastAsia" w:ascii="Times New Roman" w:hAnsi="Times New Roman" w:eastAsia="仿宋_GB2312"/>
          <w:b w:val="0"/>
          <w:bCs w:val="0"/>
          <w:kern w:val="2"/>
          <w:highlight w:val="none"/>
        </w:rPr>
        <w:t>全年执行</w:t>
      </w:r>
      <w:r>
        <w:rPr>
          <w:rFonts w:hint="eastAsia" w:ascii="Times New Roman" w:hAnsi="Times New Roman" w:eastAsia="仿宋_GB2312"/>
          <w:b w:val="0"/>
          <w:bCs w:val="0"/>
          <w:kern w:val="2"/>
          <w:highlight w:val="none"/>
          <w:lang w:eastAsia="zh-CN"/>
        </w:rPr>
        <w:t>数</w:t>
      </w:r>
      <w:r>
        <w:rPr>
          <w:rFonts w:hint="eastAsia" w:ascii="Times New Roman" w:hAnsi="Times New Roman" w:eastAsia="仿宋_GB2312"/>
          <w:b w:val="0"/>
          <w:bCs w:val="0"/>
          <w:kern w:val="2"/>
          <w:highlight w:val="none"/>
          <w:lang w:val="en-US" w:eastAsia="zh-CN"/>
        </w:rPr>
        <w:t>800</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eastAsia="zh-CN"/>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用于支付项目实施进程中的各项费用。</w:t>
      </w:r>
    </w:p>
    <w:p w14:paraId="74774149">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eastAsia="楷体_GB2312"/>
          <w:b/>
          <w:bCs/>
          <w:sz w:val="32"/>
          <w:szCs w:val="32"/>
        </w:rPr>
      </w:pPr>
      <w:r>
        <w:rPr>
          <w:rFonts w:eastAsia="楷体_GB2312"/>
          <w:b/>
          <w:bCs/>
          <w:sz w:val="32"/>
          <w:szCs w:val="32"/>
        </w:rPr>
        <w:t>（二）项目绩效目标</w:t>
      </w:r>
    </w:p>
    <w:p w14:paraId="3E4B80E2">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eastAsia="仿宋_GB2312"/>
          <w:sz w:val="32"/>
          <w:szCs w:val="32"/>
        </w:rPr>
      </w:pPr>
      <w:r>
        <w:rPr>
          <w:rFonts w:eastAsia="仿宋_GB2312"/>
          <w:sz w:val="32"/>
          <w:szCs w:val="32"/>
        </w:rPr>
        <w:t>1、总体目标</w:t>
      </w:r>
    </w:p>
    <w:p w14:paraId="0F1B09FF">
      <w:pPr>
        <w:keepNext w:val="0"/>
        <w:keepLines w:val="0"/>
        <w:pageBreakBefore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把政府引导与市场作用结合起来，把壮大优势产业与建设重点项目结合起来，集中力量优先发展优势产业，建设一批重大项目，发展一批重点产品，以骨干企业、重大项目、重点产品支撑优势产业快速发展。</w:t>
      </w:r>
    </w:p>
    <w:p w14:paraId="63E5B67C">
      <w:pPr>
        <w:keepNext w:val="0"/>
        <w:keepLines w:val="0"/>
        <w:pageBreakBefore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推进智能工厂/数字化车间建设，引导企业开展智能制造改造，推进人工智能、大数据、工业互联网等新技术新模式与实体经济融合。</w:t>
      </w:r>
    </w:p>
    <w:p w14:paraId="340455F4">
      <w:pPr>
        <w:keepNext w:val="0"/>
        <w:keepLines w:val="0"/>
        <w:pageBreakBefore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推动实施自治区首台套创新奖励，推进首台（套）、首批次创新产品的研发和推广应用，加速首台（套）、首批次创新产品产业化进程。</w:t>
      </w:r>
    </w:p>
    <w:p w14:paraId="7C668893">
      <w:pPr>
        <w:keepNext w:val="0"/>
        <w:keepLines w:val="0"/>
        <w:pageBreakBefore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提升企业经营、技术、管理等人员素质，提高我区企业在新技术研发创新、新产业发展、新模式应用等方面的水平，为经济高质量发展和企业转型升级提供人才支撑。</w:t>
      </w:r>
    </w:p>
    <w:p w14:paraId="77CB068A">
      <w:pPr>
        <w:keepNext w:val="0"/>
        <w:keepLines w:val="0"/>
        <w:pageBreakBefore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建立和完善战略性新兴产业发展的统计和监测机制，加强对战略性新兴产业集聚基地和重大项目建设的督促推动，深入评估分析产业发展情况，有效促进战略性新兴产业发展壮大。</w:t>
      </w:r>
    </w:p>
    <w:p w14:paraId="08F20509">
      <w:pPr>
        <w:keepNext w:val="0"/>
        <w:keepLines w:val="0"/>
        <w:pageBreakBefore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强化规划引导、政策扶持和组织协调，充分发挥战略性新兴产业的引领和带动作用，加快传统产业转型升级，提高经济综合实力。</w:t>
      </w:r>
    </w:p>
    <w:p w14:paraId="54116FDE">
      <w:pPr>
        <w:keepNext w:val="0"/>
        <w:keepLines w:val="0"/>
        <w:pageBreakBefore w:val="0"/>
        <w:kinsoku/>
        <w:wordWrap/>
        <w:overflowPunct/>
        <w:topLinePunct w:val="0"/>
        <w:autoSpaceDE/>
        <w:autoSpaceDN/>
        <w:bidi w:val="0"/>
        <w:adjustRightInd/>
        <w:snapToGrid/>
        <w:spacing w:line="520" w:lineRule="exact"/>
        <w:ind w:firstLine="640" w:firstLineChars="200"/>
        <w:textAlignment w:val="auto"/>
      </w:pPr>
      <w:r>
        <w:rPr>
          <w:rFonts w:eastAsia="仿宋_GB2312"/>
          <w:sz w:val="32"/>
          <w:szCs w:val="32"/>
        </w:rPr>
        <w:t>2、阶段性目标</w:t>
      </w:r>
    </w:p>
    <w:p w14:paraId="57CC2FB7">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eastAsia="仿宋_GB2312"/>
          <w:sz w:val="32"/>
          <w:szCs w:val="32"/>
        </w:rPr>
      </w:pPr>
      <w:r>
        <w:rPr>
          <w:rFonts w:eastAsia="仿宋_GB2312"/>
          <w:sz w:val="32"/>
          <w:szCs w:val="32"/>
        </w:rPr>
        <w:t>（1）前期准备：通过制定项目实施方案，经项目负责人审核通过后，有序开展后续工作。</w:t>
      </w:r>
    </w:p>
    <w:p w14:paraId="59281D23">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14:paraId="6C60D5E5">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eastAsia="黑体"/>
          <w:sz w:val="32"/>
          <w:szCs w:val="32"/>
        </w:rPr>
      </w:pPr>
      <w:r>
        <w:rPr>
          <w:rFonts w:eastAsia="黑体"/>
          <w:sz w:val="32"/>
          <w:szCs w:val="32"/>
        </w:rPr>
        <w:t>二、绩效评价工作开展情况</w:t>
      </w:r>
    </w:p>
    <w:p w14:paraId="2610DAD0">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eastAsia="楷体_GB2312"/>
          <w:b/>
          <w:bCs/>
          <w:sz w:val="32"/>
          <w:szCs w:val="32"/>
        </w:rPr>
      </w:pPr>
      <w:r>
        <w:rPr>
          <w:rFonts w:eastAsia="楷体_GB2312"/>
          <w:b/>
          <w:bCs/>
          <w:sz w:val="32"/>
          <w:szCs w:val="32"/>
        </w:rPr>
        <w:t>（一）绩效评价目的、对象和范围</w:t>
      </w:r>
    </w:p>
    <w:p w14:paraId="47E5791D">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Times New Roman" w:hAnsi="Times New Roman" w:eastAsia="仿宋_GB2312"/>
          <w:b w:val="0"/>
          <w:bCs w:val="0"/>
        </w:rPr>
      </w:pPr>
      <w:r>
        <w:rPr>
          <w:rFonts w:hint="eastAsia" w:ascii="Times New Roman" w:hAnsi="Times New Roman" w:eastAsia="仿宋_GB2312"/>
          <w:b w:val="0"/>
          <w:bCs w:val="0"/>
        </w:rPr>
        <w:t>1.绩效评价完整性</w:t>
      </w:r>
    </w:p>
    <w:p w14:paraId="11C3DB46">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Times New Roman" w:hAnsi="Times New Roman" w:eastAsia="仿宋_GB2312"/>
          <w:b w:val="0"/>
          <w:bCs w:val="0"/>
        </w:rPr>
      </w:pPr>
      <w:r>
        <w:rPr>
          <w:rFonts w:hint="eastAsia" w:ascii="Times New Roman" w:hAnsi="Times New Roman" w:eastAsia="仿宋_GB2312"/>
          <w:b w:val="0"/>
          <w:bCs w:val="0"/>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551880B">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Times New Roman" w:hAnsi="Times New Roman" w:eastAsia="仿宋_GB2312"/>
          <w:b w:val="0"/>
          <w:bCs w:val="0"/>
        </w:rPr>
      </w:pPr>
      <w:r>
        <w:rPr>
          <w:rFonts w:hint="eastAsia" w:ascii="Times New Roman" w:hAnsi="Times New Roman" w:eastAsia="仿宋_GB2312"/>
          <w:b w:val="0"/>
          <w:bCs w:val="0"/>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120B4693">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Times New Roman" w:hAnsi="Times New Roman" w:eastAsia="仿宋_GB2312"/>
          <w:b w:val="0"/>
          <w:bCs w:val="0"/>
        </w:rPr>
      </w:pPr>
      <w:r>
        <w:rPr>
          <w:rFonts w:hint="eastAsia" w:ascii="Times New Roman" w:hAnsi="Times New Roman" w:eastAsia="仿宋_GB2312"/>
          <w:b w:val="0"/>
          <w:bCs w:val="0"/>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4C0F39C">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Times New Roman" w:hAnsi="Times New Roman" w:eastAsia="仿宋_GB2312"/>
          <w:b w:val="0"/>
          <w:bCs w:val="0"/>
        </w:rPr>
      </w:pPr>
      <w:r>
        <w:rPr>
          <w:rFonts w:hint="eastAsia" w:ascii="Times New Roman" w:hAnsi="Times New Roman" w:eastAsia="仿宋_GB2312"/>
          <w:b w:val="0"/>
          <w:bCs w:val="0"/>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B1E900A">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Times New Roman" w:hAnsi="Times New Roman" w:eastAsia="仿宋_GB2312"/>
          <w:b w:val="0"/>
          <w:bCs w:val="0"/>
        </w:rPr>
      </w:pPr>
      <w:r>
        <w:rPr>
          <w:rFonts w:hint="eastAsia" w:ascii="Times New Roman" w:hAnsi="Times New Roman" w:eastAsia="仿宋_GB2312"/>
          <w:b w:val="0"/>
          <w:bCs w:val="0"/>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6893466">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2</w:t>
      </w:r>
      <w:r>
        <w:rPr>
          <w:rFonts w:ascii="Times New Roman" w:hAnsi="Times New Roman" w:eastAsia="仿宋_GB2312"/>
          <w:b w:val="0"/>
          <w:bCs w:val="0"/>
        </w:rPr>
        <w:t>、绩效评价的目的</w:t>
      </w:r>
    </w:p>
    <w:p w14:paraId="633D564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0D26502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14:paraId="024B63A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7175C2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86F599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524D43A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A39588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2F8D42F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E20E5D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105E17D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26E3D5E">
      <w:pPr>
        <w:pageBreakBefore w:val="0"/>
        <w:kinsoku/>
        <w:wordWrap/>
        <w:overflowPunct/>
        <w:topLinePunct w:val="0"/>
        <w:autoSpaceDE/>
        <w:autoSpaceDN/>
        <w:bidi w:val="0"/>
        <w:adjustRightInd/>
        <w:snapToGrid/>
        <w:spacing w:line="520" w:lineRule="exact"/>
        <w:textAlignment w:val="auto"/>
        <w:rPr>
          <w:rFonts w:hint="eastAsia"/>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B2D85CF">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3</w:t>
      </w:r>
      <w:r>
        <w:rPr>
          <w:rFonts w:ascii="Times New Roman" w:hAnsi="Times New Roman" w:eastAsia="仿宋_GB2312"/>
          <w:b w:val="0"/>
          <w:bCs w:val="0"/>
        </w:rPr>
        <w:t>、绩效评价的对象</w:t>
      </w:r>
    </w:p>
    <w:p w14:paraId="5071D1DF">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本项目预算绩效评价报告的评价对象是202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年自治区战略性新兴产业专项资金及其预算执行情况。该项目由</w:t>
      </w:r>
      <w:r>
        <w:rPr>
          <w:rFonts w:hint="eastAsia" w:ascii="仿宋_GB2312" w:hAnsi="仿宋_GB2312" w:eastAsia="仿宋_GB2312" w:cs="仿宋_GB2312"/>
          <w:sz w:val="32"/>
          <w:szCs w:val="32"/>
          <w:highlight w:val="none"/>
          <w:lang w:eastAsia="zh-CN"/>
        </w:rPr>
        <w:t>自治区工信厅科技质量处</w:t>
      </w:r>
      <w:r>
        <w:rPr>
          <w:rFonts w:hint="eastAsia" w:ascii="仿宋_GB2312" w:hAnsi="仿宋_GB2312" w:eastAsia="仿宋_GB2312" w:cs="仿宋_GB2312"/>
          <w:sz w:val="32"/>
          <w:szCs w:val="32"/>
          <w:highlight w:val="none"/>
        </w:rPr>
        <w:t>负责实施，旨在</w:t>
      </w:r>
      <w:r>
        <w:rPr>
          <w:rFonts w:hint="eastAsia" w:ascii="仿宋_GB2312" w:hAnsi="仿宋_GB2312" w:eastAsia="仿宋_GB2312" w:cs="仿宋_GB2312"/>
          <w:sz w:val="32"/>
          <w:szCs w:val="32"/>
          <w:highlight w:val="none"/>
          <w:lang w:eastAsia="zh-CN"/>
        </w:rPr>
        <w:t>推动自治区战略性新兴产业重点项目建设，提升企业科技创新能力</w:t>
      </w:r>
      <w:r>
        <w:rPr>
          <w:rFonts w:hint="eastAsia" w:ascii="仿宋_GB2312" w:hAnsi="仿宋_GB2312" w:eastAsia="仿宋_GB2312" w:cs="仿宋_GB2312"/>
          <w:sz w:val="32"/>
          <w:szCs w:val="32"/>
          <w:highlight w:val="none"/>
        </w:rPr>
        <w:t>。项目预算涵盖从</w:t>
      </w:r>
      <w:r>
        <w:rPr>
          <w:rFonts w:hint="eastAsia" w:ascii="仿宋_GB2312" w:hAnsi="仿宋_GB2312" w:eastAsia="仿宋_GB2312" w:cs="仿宋_GB2312"/>
          <w:sz w:val="32"/>
          <w:szCs w:val="32"/>
          <w:highlight w:val="none"/>
          <w:lang w:val="en-US" w:eastAsia="zh-CN"/>
        </w:rPr>
        <w:t>2024年5月</w:t>
      </w:r>
      <w:r>
        <w:rPr>
          <w:rFonts w:hint="eastAsia" w:ascii="仿宋_GB2312" w:hAnsi="仿宋_GB2312" w:eastAsia="仿宋_GB2312" w:cs="仿宋_GB2312"/>
          <w:sz w:val="32"/>
          <w:szCs w:val="32"/>
          <w:highlight w:val="none"/>
        </w:rPr>
        <w:t>至</w:t>
      </w:r>
      <w:r>
        <w:rPr>
          <w:rFonts w:hint="eastAsia" w:ascii="仿宋_GB2312" w:hAnsi="仿宋_GB2312" w:eastAsia="仿宋_GB2312" w:cs="仿宋_GB2312"/>
          <w:sz w:val="32"/>
          <w:szCs w:val="32"/>
          <w:highlight w:val="none"/>
          <w:lang w:val="en-US" w:eastAsia="zh-CN"/>
        </w:rPr>
        <w:t>6月</w:t>
      </w:r>
      <w:r>
        <w:rPr>
          <w:rFonts w:hint="eastAsia" w:ascii="仿宋_GB2312" w:hAnsi="仿宋_GB2312" w:eastAsia="仿宋_GB2312" w:cs="仿宋_GB2312"/>
          <w:sz w:val="32"/>
          <w:szCs w:val="32"/>
          <w:highlight w:val="none"/>
        </w:rPr>
        <w:t>的全部资金投入与支出，涉及资金总额为</w:t>
      </w:r>
      <w:r>
        <w:rPr>
          <w:rFonts w:hint="eastAsia" w:ascii="仿宋_GB2312" w:hAnsi="仿宋_GB2312" w:eastAsia="仿宋_GB2312" w:cs="仿宋_GB2312"/>
          <w:sz w:val="32"/>
          <w:szCs w:val="32"/>
          <w:highlight w:val="none"/>
          <w:lang w:val="en-US" w:eastAsia="zh-CN"/>
        </w:rPr>
        <w:t>800万</w:t>
      </w:r>
      <w:r>
        <w:rPr>
          <w:rFonts w:hint="eastAsia" w:ascii="仿宋_GB2312" w:hAnsi="仿宋_GB2312" w:eastAsia="仿宋_GB2312" w:cs="仿宋_GB2312"/>
          <w:sz w:val="32"/>
          <w:szCs w:val="32"/>
          <w:highlight w:val="none"/>
        </w:rPr>
        <w:t>元。</w:t>
      </w:r>
    </w:p>
    <w:p w14:paraId="6FDC8638">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4</w:t>
      </w:r>
      <w:r>
        <w:rPr>
          <w:rFonts w:ascii="Times New Roman" w:hAnsi="Times New Roman" w:eastAsia="仿宋_GB2312"/>
          <w:b w:val="0"/>
          <w:bCs w:val="0"/>
        </w:rPr>
        <w:t>、绩效评价的范围</w:t>
      </w:r>
    </w:p>
    <w:p w14:paraId="7F43C4FA">
      <w:pPr>
        <w:pStyle w:val="2"/>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4EF24B3C">
      <w:pPr>
        <w:pStyle w:val="2"/>
        <w:pageBreakBefore w:val="0"/>
        <w:widowControl w:val="0"/>
        <w:numPr>
          <w:ilvl w:val="0"/>
          <w:numId w:val="2"/>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0BF31E93">
      <w:pPr>
        <w:pStyle w:val="2"/>
        <w:pageBreakBefore w:val="0"/>
        <w:widowControl w:val="0"/>
        <w:numPr>
          <w:ilvl w:val="0"/>
          <w:numId w:val="2"/>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55B4DC1F">
      <w:pPr>
        <w:pStyle w:val="2"/>
        <w:pageBreakBefore w:val="0"/>
        <w:widowControl w:val="0"/>
        <w:numPr>
          <w:ilvl w:val="0"/>
          <w:numId w:val="2"/>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62C11780">
      <w:pPr>
        <w:pStyle w:val="2"/>
        <w:pageBreakBefore w:val="0"/>
        <w:widowControl w:val="0"/>
        <w:numPr>
          <w:ilvl w:val="0"/>
          <w:numId w:val="2"/>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eastAsia="zh-CN"/>
        </w:rPr>
        <w:t>经济</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w:t>
      </w:r>
      <w:r>
        <w:rPr>
          <w:rFonts w:hint="eastAsia" w:ascii="Times New Roman" w:hAnsi="Times New Roman" w:eastAsia="仿宋_GB2312" w:cs="Times New Roman"/>
          <w:b w:val="0"/>
          <w:bCs w:val="0"/>
          <w:highlight w:val="none"/>
          <w:lang w:eastAsia="zh-CN"/>
        </w:rPr>
        <w:t>社会、</w:t>
      </w:r>
      <w:r>
        <w:rPr>
          <w:rFonts w:hint="default" w:ascii="Times New Roman" w:hAnsi="Times New Roman" w:eastAsia="仿宋_GB2312" w:cs="Times New Roman"/>
          <w:b w:val="0"/>
          <w:bCs w:val="0"/>
          <w:highlight w:val="none"/>
        </w:rPr>
        <w:t>经济等方面的影响。</w:t>
      </w:r>
    </w:p>
    <w:p w14:paraId="7C84002D">
      <w:pPr>
        <w:keepNext w:val="0"/>
        <w:keepLines w:val="0"/>
        <w:pageBreakBefore w:val="0"/>
        <w:kinsoku/>
        <w:wordWrap/>
        <w:overflowPunct/>
        <w:topLinePunct w:val="0"/>
        <w:autoSpaceDE/>
        <w:autoSpaceDN/>
        <w:bidi w:val="0"/>
        <w:adjustRightInd/>
        <w:snapToGrid/>
        <w:spacing w:line="520" w:lineRule="exact"/>
        <w:ind w:firstLine="643" w:firstLineChars="200"/>
        <w:textAlignment w:val="auto"/>
      </w:pPr>
      <w:r>
        <w:rPr>
          <w:rFonts w:eastAsia="楷体_GB2312"/>
          <w:b/>
          <w:bCs/>
          <w:sz w:val="32"/>
          <w:szCs w:val="32"/>
        </w:rPr>
        <w:t>（二）绩效评价原则、评价指标体系（详情见表1）、评价方法、评价标准。</w:t>
      </w:r>
    </w:p>
    <w:p w14:paraId="41DBDE94">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1、绩效评价原则</w:t>
      </w:r>
    </w:p>
    <w:p w14:paraId="35F0CCA7">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eastAsia="仿宋_GB2312"/>
          <w:color w:val="000000"/>
          <w:sz w:val="32"/>
          <w:szCs w:val="32"/>
        </w:rPr>
      </w:pPr>
      <w:r>
        <w:rPr>
          <w:rFonts w:eastAsia="仿宋_GB2312"/>
          <w:color w:val="000000"/>
          <w:sz w:val="32"/>
          <w:szCs w:val="32"/>
        </w:rPr>
        <w:t>本次项目绩效评价遵循以下基本原则：</w:t>
      </w:r>
    </w:p>
    <w:p w14:paraId="6A50CA52">
      <w:pPr>
        <w:pStyle w:val="2"/>
        <w:keepNext w:val="0"/>
        <w:keepLines w:val="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2B637DA8">
      <w:pPr>
        <w:pStyle w:val="2"/>
        <w:keepNext w:val="0"/>
        <w:keepLines w:val="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1228D02F">
      <w:pPr>
        <w:pStyle w:val="2"/>
        <w:keepNext w:val="0"/>
        <w:keepLines w:val="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697C0BA2">
      <w:pPr>
        <w:pStyle w:val="2"/>
        <w:keepNext w:val="0"/>
        <w:keepLines w:val="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1A247353">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2、评价指标体系</w:t>
      </w:r>
    </w:p>
    <w:p w14:paraId="09BC8433">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评价指标体系</w:t>
      </w:r>
      <w:r>
        <w:rPr>
          <w:rFonts w:hint="eastAsia" w:ascii="仿宋_GB2312" w:hAnsi="仿宋_GB2312" w:eastAsia="仿宋_GB2312" w:cs="仿宋_GB2312"/>
          <w:color w:val="auto"/>
          <w:sz w:val="32"/>
          <w:szCs w:val="32"/>
          <w:shd w:val="clear" w:color="auto" w:fill="FFFFFF"/>
          <w:lang w:val="en-US" w:eastAsia="zh-CN"/>
        </w:rPr>
        <w:t>按照财政部《关于印发&lt;项目支出绩效评价管理办法&gt;的通知》</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财预〔2021〕10号</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中所规定的绩效指标体系设立。</w:t>
      </w:r>
      <w:r>
        <w:rPr>
          <w:rFonts w:hint="eastAsia" w:ascii="仿宋_GB2312" w:hAnsi="仿宋_GB2312" w:eastAsia="仿宋_GB2312" w:cs="仿宋_GB2312"/>
          <w:color w:val="auto"/>
          <w:sz w:val="32"/>
          <w:szCs w:val="32"/>
          <w:shd w:val="clear" w:color="auto" w:fill="FFFFFF"/>
        </w:rPr>
        <w:t>综合考虑资金特征</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项目范围、资金拨付和执行、项目实施等，通过分析评分的方式全面评价项目决策、资金投入、过程管理、产出效果、经济效益和满意度，明确绩效评价指标体系如下表所示。</w:t>
      </w:r>
    </w:p>
    <w:p w14:paraId="2CE58059">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（1）确定评价指标</w:t>
      </w:r>
    </w:p>
    <w:p w14:paraId="045415DD">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B4E41E5">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（2）确定权重</w:t>
      </w:r>
    </w:p>
    <w:p w14:paraId="46426305">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w:t>
      </w:r>
      <w:r>
        <w:rPr>
          <w:rFonts w:eastAsia="仿宋_GB2312"/>
          <w:color w:val="000000"/>
          <w:spacing w:val="17"/>
          <w:sz w:val="32"/>
          <w:szCs w:val="32"/>
        </w:rPr>
        <w:t>0分，项目效益权重为</w:t>
      </w:r>
      <w:r>
        <w:rPr>
          <w:rFonts w:hint="eastAsia" w:eastAsia="仿宋_GB2312"/>
          <w:color w:val="000000"/>
          <w:spacing w:val="17"/>
          <w:sz w:val="32"/>
          <w:szCs w:val="32"/>
          <w:lang w:val="en-US" w:eastAsia="zh-CN"/>
        </w:rPr>
        <w:t>2</w:t>
      </w:r>
      <w:r>
        <w:rPr>
          <w:rFonts w:eastAsia="仿宋_GB2312"/>
          <w:color w:val="000000"/>
          <w:spacing w:val="17"/>
          <w:sz w:val="32"/>
          <w:szCs w:val="32"/>
        </w:rPr>
        <w:t>0分。</w:t>
      </w:r>
    </w:p>
    <w:p w14:paraId="2FF3A336">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（3）确定指标标准值</w:t>
      </w:r>
    </w:p>
    <w:p w14:paraId="596D967B">
      <w:pPr>
        <w:keepNext w:val="0"/>
        <w:keepLines w:val="0"/>
        <w:pageBreakBefore w:val="0"/>
        <w:kinsoku/>
        <w:wordWrap/>
        <w:overflowPunct/>
        <w:topLinePunct w:val="0"/>
        <w:autoSpaceDE/>
        <w:autoSpaceDN/>
        <w:bidi w:val="0"/>
        <w:adjustRightInd/>
        <w:snapToGrid/>
        <w:spacing w:line="52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指标标准值是绩效评价指标的尺度，既要反映同类项目的先进水平，又要符合项目的实际绩效水平。具体采用计划标准确定此次绩效评价指标标准值。</w:t>
      </w:r>
    </w:p>
    <w:p w14:paraId="18377D19">
      <w:pPr>
        <w:pStyle w:val="2"/>
        <w:keepNext w:val="0"/>
        <w:keepLines w:val="0"/>
        <w:pageBreakBefore w:val="0"/>
        <w:kinsoku/>
        <w:wordWrap/>
        <w:overflowPunct/>
        <w:topLinePunct w:val="0"/>
        <w:autoSpaceDE/>
        <w:autoSpaceDN/>
        <w:bidi w:val="0"/>
        <w:adjustRightInd/>
        <w:snapToGrid/>
        <w:spacing w:before="0" w:after="0" w:line="520" w:lineRule="exact"/>
        <w:ind w:firstLine="708" w:firstLineChars="200"/>
        <w:jc w:val="both"/>
        <w:textAlignment w:val="auto"/>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736CEE31">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708" w:firstLineChars="200"/>
        <w:jc w:val="both"/>
        <w:textAlignment w:val="auto"/>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3EE7C5EB">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3、绩效评价方法</w:t>
      </w:r>
    </w:p>
    <w:p w14:paraId="7F6AB0D2">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eastAsia" w:ascii="Times New Roman" w:hAnsi="Times New Roman" w:eastAsia="仿宋_GB2312"/>
          <w:b w:val="0"/>
          <w:bCs w:val="0"/>
          <w:highlight w:val="none"/>
        </w:rPr>
      </w:pPr>
      <w:r>
        <w:rPr>
          <w:rFonts w:hint="eastAsia" w:ascii="Times New Roman" w:hAnsi="Times New Roman" w:eastAsia="仿宋_GB2312"/>
          <w:b w:val="0"/>
          <w:bCs w:val="0"/>
        </w:rPr>
        <w:t>按照自治区财政厅《项目支出绩效评价管理办法》（财预〔2020〕10号）的要求，</w:t>
      </w:r>
      <w:r>
        <w:rPr>
          <w:rFonts w:hint="eastAsia" w:ascii="Times New Roman" w:hAnsi="Times New Roman" w:eastAsia="仿宋_GB2312"/>
          <w:b w:val="0"/>
          <w:bCs w:val="0"/>
          <w:highlight w:val="none"/>
        </w:rPr>
        <w:t>评价方法采用因素分析法、比较法、成本效益分析法、公众评判法。其中，对项目立项、绩效目标、资金投入、组织实施等指标采用因素分析法评价；对资金管理、产出数量、产出质量、产出时效、产出成本等指标采用比较法，通过对照绩效目标考察完成情况进行评价；对项目效益中的实施效益指标采用成本效益分析法评价；对项目效益中的满意度指标采用公众评判法，通过电话询问的方式评价。</w:t>
      </w:r>
    </w:p>
    <w:p w14:paraId="5465F386">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4、评价标准</w:t>
      </w:r>
    </w:p>
    <w:p w14:paraId="4F5A89DD">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shd w:val="clear" w:color="auto" w:fill="FFFFFF"/>
        </w:rPr>
        <w:t>本次绩效评价采用</w:t>
      </w:r>
      <w:r>
        <w:rPr>
          <w:rFonts w:hint="eastAsia" w:ascii="仿宋_GB2312" w:hAnsi="仿宋_GB2312" w:eastAsia="仿宋_GB2312" w:cs="仿宋_GB2312"/>
          <w:color w:val="auto"/>
          <w:sz w:val="32"/>
          <w:szCs w:val="32"/>
          <w:shd w:val="clear" w:color="auto" w:fill="FFFFFF"/>
          <w:lang w:val="en-US" w:eastAsia="zh-CN"/>
        </w:rPr>
        <w:t>自治区财政厅</w:t>
      </w:r>
      <w:r>
        <w:rPr>
          <w:rFonts w:hint="eastAsia" w:ascii="仿宋_GB2312" w:hAnsi="仿宋_GB2312" w:eastAsia="仿宋_GB2312" w:cs="仿宋_GB2312"/>
          <w:color w:val="auto"/>
          <w:sz w:val="32"/>
          <w:szCs w:val="32"/>
          <w:shd w:val="clear" w:color="auto" w:fill="FFFFFF"/>
        </w:rPr>
        <w:t>《项目支出绩效评价管理办法》（</w:t>
      </w:r>
      <w:r>
        <w:rPr>
          <w:rFonts w:hint="eastAsia" w:ascii="仿宋_GB2312" w:hAnsi="仿宋_GB2312" w:eastAsia="仿宋_GB2312" w:cs="仿宋_GB2312"/>
          <w:color w:val="auto"/>
          <w:sz w:val="32"/>
          <w:szCs w:val="32"/>
          <w:shd w:val="clear" w:color="auto" w:fill="FFFFFF"/>
          <w:lang w:eastAsia="zh-CN"/>
        </w:rPr>
        <w:t>财预</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eastAsia="zh-CN"/>
        </w:rPr>
        <w:t>202</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10</w:t>
      </w:r>
      <w:r>
        <w:rPr>
          <w:rFonts w:hint="eastAsia" w:ascii="仿宋_GB2312" w:hAnsi="仿宋_GB2312" w:eastAsia="仿宋_GB2312" w:cs="仿宋_GB2312"/>
          <w:color w:val="auto"/>
          <w:sz w:val="32"/>
          <w:szCs w:val="32"/>
          <w:shd w:val="clear" w:color="auto" w:fill="FFFFFF"/>
        </w:rPr>
        <w:t>号）</w:t>
      </w:r>
      <w:r>
        <w:rPr>
          <w:rFonts w:hint="eastAsia" w:ascii="仿宋_GB2312" w:hAnsi="仿宋_GB2312" w:eastAsia="仿宋_GB2312" w:cs="仿宋_GB2312"/>
          <w:color w:val="auto"/>
          <w:sz w:val="32"/>
          <w:szCs w:val="32"/>
          <w:shd w:val="clear" w:color="auto" w:fill="FFFFFF"/>
          <w:lang w:val="en-US" w:eastAsia="zh-CN"/>
        </w:rPr>
        <w:t>中所规定的</w:t>
      </w:r>
      <w:r>
        <w:rPr>
          <w:rFonts w:hint="eastAsia" w:ascii="仿宋_GB2312" w:hAnsi="仿宋_GB2312" w:eastAsia="仿宋_GB2312" w:cs="仿宋_GB2312"/>
          <w:color w:val="auto"/>
          <w:sz w:val="32"/>
          <w:szCs w:val="32"/>
          <w:shd w:val="clear" w:color="auto" w:fill="FFFFFF"/>
        </w:rPr>
        <w:t>计划标准</w:t>
      </w:r>
      <w:r>
        <w:rPr>
          <w:rFonts w:hint="eastAsia" w:ascii="仿宋_GB2312" w:hAnsi="仿宋_GB2312" w:eastAsia="仿宋_GB2312" w:cs="仿宋_GB2312"/>
          <w:color w:val="auto"/>
          <w:sz w:val="32"/>
          <w:szCs w:val="32"/>
          <w:shd w:val="clear" w:color="auto" w:fill="FFFFFF"/>
          <w:lang w:eastAsia="zh-CN"/>
        </w:rPr>
        <w:t>。对照年初制定的</w:t>
      </w:r>
      <w:r>
        <w:rPr>
          <w:rFonts w:hint="eastAsia" w:ascii="仿宋_GB2312" w:hAnsi="仿宋_GB2312" w:eastAsia="仿宋_GB2312" w:cs="仿宋_GB2312"/>
          <w:color w:val="auto"/>
          <w:sz w:val="32"/>
          <w:szCs w:val="32"/>
          <w:shd w:val="clear" w:color="auto" w:fill="FFFFFF"/>
          <w:lang w:val="en-US" w:eastAsia="zh-CN"/>
        </w:rPr>
        <w:t>绩效目标，</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评价项目决策是否到位，立项依据是否充分，决策结果是否规范；</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评价项目过程是否严格按规定规范执行，资金运用是否合规；</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color w:val="auto"/>
          <w:sz w:val="32"/>
          <w:szCs w:val="32"/>
          <w:lang w:val="en-US" w:eastAsia="zh-CN"/>
        </w:rPr>
        <w:t>评价项目产出情况，数量指标是否达到规定数额，资金是否按时拨付到位，项目是否按要求实施；</w:t>
      </w:r>
      <w:r>
        <w:rPr>
          <w:rFonts w:hint="eastAsia" w:ascii="仿宋_GB2312" w:hAnsi="仿宋_GB2312" w:eastAsia="仿宋_GB2312" w:cs="仿宋_GB2312"/>
          <w:b/>
          <w:bCs/>
          <w:color w:val="auto"/>
          <w:sz w:val="32"/>
          <w:szCs w:val="32"/>
          <w:lang w:val="en-US" w:eastAsia="zh-CN"/>
        </w:rPr>
        <w:t>四是</w:t>
      </w:r>
      <w:r>
        <w:rPr>
          <w:rFonts w:hint="eastAsia" w:ascii="仿宋_GB2312" w:hAnsi="仿宋_GB2312" w:eastAsia="仿宋_GB2312" w:cs="仿宋_GB2312"/>
          <w:color w:val="auto"/>
          <w:sz w:val="32"/>
          <w:szCs w:val="32"/>
          <w:lang w:val="en-US" w:eastAsia="zh-CN"/>
        </w:rPr>
        <w:t>评价项目经济社会效益是否良好，对社会发展是否产生可持续影响，支持对象满意度是否达标等。</w:t>
      </w:r>
    </w:p>
    <w:p w14:paraId="3E717E6D">
      <w:pPr>
        <w:pStyle w:val="2"/>
        <w:keepNext w:val="0"/>
        <w:keepLines w:val="0"/>
        <w:pageBreakBefore w:val="0"/>
        <w:numPr>
          <w:ilvl w:val="0"/>
          <w:numId w:val="3"/>
        </w:numPr>
        <w:kinsoku/>
        <w:wordWrap/>
        <w:overflowPunct/>
        <w:topLinePunct w:val="0"/>
        <w:autoSpaceDE/>
        <w:autoSpaceDN/>
        <w:bidi w:val="0"/>
        <w:adjustRightInd/>
        <w:snapToGrid/>
        <w:spacing w:before="0" w:after="0" w:line="520" w:lineRule="exact"/>
        <w:ind w:firstLine="711" w:firstLineChars="200"/>
        <w:jc w:val="both"/>
        <w:textAlignment w:val="auto"/>
        <w:rPr>
          <w:rFonts w:ascii="楷体" w:hAnsi="楷体" w:eastAsia="楷体" w:cs="楷体"/>
          <w:color w:val="000000"/>
          <w:spacing w:val="17"/>
        </w:rPr>
      </w:pPr>
      <w:r>
        <w:rPr>
          <w:rFonts w:hint="eastAsia" w:ascii="楷体" w:hAnsi="楷体" w:eastAsia="楷体" w:cs="楷体"/>
          <w:color w:val="000000"/>
          <w:spacing w:val="17"/>
        </w:rPr>
        <w:t>绩效评价工作过程</w:t>
      </w:r>
    </w:p>
    <w:p w14:paraId="1BEA3BE3">
      <w:pPr>
        <w:keepNext w:val="0"/>
        <w:keepLines w:val="0"/>
        <w:pageBreakBefore w:val="0"/>
        <w:numPr>
          <w:ilvl w:val="0"/>
          <w:numId w:val="4"/>
        </w:numPr>
        <w:kinsoku/>
        <w:wordWrap/>
        <w:overflowPunct/>
        <w:topLinePunct w:val="0"/>
        <w:autoSpaceDE/>
        <w:autoSpaceDN/>
        <w:bidi w:val="0"/>
        <w:adjustRightInd/>
        <w:snapToGrid/>
        <w:spacing w:line="520" w:lineRule="exact"/>
        <w:ind w:firstLine="640" w:firstLineChars="200"/>
        <w:textAlignment w:val="auto"/>
        <w:rPr>
          <w:rFonts w:eastAsia="仿宋_GB2312"/>
          <w:bCs/>
          <w:sz w:val="32"/>
          <w:szCs w:val="32"/>
        </w:rPr>
      </w:pPr>
      <w:r>
        <w:rPr>
          <w:rFonts w:hint="eastAsia" w:eastAsia="仿宋_GB2312"/>
          <w:bCs/>
          <w:sz w:val="32"/>
          <w:szCs w:val="32"/>
        </w:rPr>
        <w:t>前期准备。梳理202</w:t>
      </w:r>
      <w:r>
        <w:rPr>
          <w:rFonts w:hint="eastAsia" w:eastAsia="仿宋_GB2312"/>
          <w:bCs/>
          <w:sz w:val="32"/>
          <w:szCs w:val="32"/>
          <w:lang w:val="en-US" w:eastAsia="zh-CN"/>
        </w:rPr>
        <w:t>4</w:t>
      </w:r>
      <w:r>
        <w:rPr>
          <w:rFonts w:hint="eastAsia" w:eastAsia="仿宋_GB2312"/>
          <w:bCs/>
          <w:sz w:val="32"/>
          <w:szCs w:val="32"/>
        </w:rPr>
        <w:t>年自治区战略性新兴产业专项资金使用情况，确定专项资金所涉及的自治区本级及各地州主管部门及相应项目承担单位，明确绩效评价对象和范围，根据项目的内容和特征制定了评价指标体系及评价标准，下达绩效评价通知给相关责任单位，做好评价准备工作。</w:t>
      </w:r>
    </w:p>
    <w:p w14:paraId="293A1FE3">
      <w:pPr>
        <w:keepNext w:val="0"/>
        <w:keepLines w:val="0"/>
        <w:pageBreakBefore w:val="0"/>
        <w:numPr>
          <w:ilvl w:val="0"/>
          <w:numId w:val="4"/>
        </w:numPr>
        <w:kinsoku/>
        <w:wordWrap/>
        <w:overflowPunct/>
        <w:topLinePunct w:val="0"/>
        <w:autoSpaceDE/>
        <w:autoSpaceDN/>
        <w:bidi w:val="0"/>
        <w:adjustRightInd/>
        <w:snapToGrid/>
        <w:spacing w:line="520" w:lineRule="exact"/>
        <w:ind w:firstLine="640" w:firstLineChars="200"/>
        <w:textAlignment w:val="auto"/>
        <w:rPr>
          <w:rFonts w:eastAsia="仿宋_GB2312"/>
          <w:bCs/>
          <w:sz w:val="32"/>
          <w:szCs w:val="32"/>
        </w:rPr>
      </w:pPr>
      <w:r>
        <w:rPr>
          <w:rFonts w:hint="eastAsia" w:eastAsia="仿宋_GB2312"/>
          <w:bCs/>
          <w:sz w:val="32"/>
          <w:szCs w:val="32"/>
        </w:rPr>
        <w:t>组织实施。</w:t>
      </w:r>
      <w:r>
        <w:rPr>
          <w:rFonts w:hint="default" w:ascii="Times New Roman" w:hAnsi="Times New Roman" w:eastAsia="仿宋_GB2312" w:cs="Times New Roman"/>
          <w:color w:val="auto"/>
          <w:sz w:val="32"/>
          <w:szCs w:val="32"/>
          <w:highlight w:val="none"/>
          <w:lang w:eastAsia="zh-CN"/>
        </w:rPr>
        <w:t>收集整理项目评价资料，</w:t>
      </w:r>
      <w:r>
        <w:rPr>
          <w:rFonts w:hint="default" w:ascii="Times New Roman" w:hAnsi="Times New Roman" w:eastAsia="仿宋_GB2312" w:cs="Times New Roman"/>
          <w:color w:val="auto"/>
          <w:sz w:val="32"/>
          <w:szCs w:val="32"/>
          <w:highlight w:val="none"/>
        </w:rPr>
        <w:t>在数据采集方面，参照各项目申报材料</w:t>
      </w:r>
      <w:r>
        <w:rPr>
          <w:rFonts w:hint="default" w:ascii="Times New Roman" w:hAnsi="Times New Roman" w:eastAsia="仿宋_GB2312" w:cs="Times New Roman"/>
          <w:color w:val="auto"/>
          <w:sz w:val="32"/>
          <w:szCs w:val="32"/>
          <w:highlight w:val="none"/>
          <w:lang w:eastAsia="zh-CN"/>
        </w:rPr>
        <w:t>及</w:t>
      </w:r>
      <w:r>
        <w:rPr>
          <w:rFonts w:hint="default" w:ascii="Times New Roman" w:hAnsi="Times New Roman" w:eastAsia="仿宋_GB2312" w:cs="Times New Roman"/>
          <w:color w:val="auto"/>
          <w:sz w:val="32"/>
          <w:szCs w:val="32"/>
          <w:highlight w:val="none"/>
        </w:rPr>
        <w:t>各地州市工信局汇总上报</w:t>
      </w:r>
      <w:r>
        <w:rPr>
          <w:rFonts w:hint="default" w:ascii="Times New Roman" w:hAnsi="Times New Roman" w:eastAsia="仿宋_GB2312" w:cs="Times New Roman"/>
          <w:color w:val="auto"/>
          <w:sz w:val="32"/>
          <w:szCs w:val="32"/>
          <w:highlight w:val="none"/>
          <w:lang w:eastAsia="zh-CN"/>
        </w:rPr>
        <w:t>的企业项目进展材料</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整理评价数据；</w:t>
      </w:r>
      <w:r>
        <w:rPr>
          <w:rFonts w:hint="default" w:ascii="Times New Roman" w:hAnsi="Times New Roman" w:eastAsia="仿宋_GB2312" w:cs="Times New Roman"/>
          <w:color w:val="auto"/>
          <w:sz w:val="32"/>
          <w:szCs w:val="32"/>
          <w:highlight w:val="none"/>
        </w:rPr>
        <w:t>在社会效益及满意度调查方面，对服务对象开展了电话调查，采集</w:t>
      </w:r>
      <w:r>
        <w:rPr>
          <w:rFonts w:hint="default" w:ascii="Times New Roman" w:hAnsi="Times New Roman" w:eastAsia="仿宋_GB2312" w:cs="Times New Roman"/>
          <w:color w:val="auto"/>
          <w:sz w:val="32"/>
          <w:szCs w:val="32"/>
          <w:highlight w:val="none"/>
          <w:lang w:eastAsia="zh-CN"/>
        </w:rPr>
        <w:t>评价</w:t>
      </w:r>
      <w:r>
        <w:rPr>
          <w:rFonts w:hint="default" w:ascii="Times New Roman" w:hAnsi="Times New Roman" w:eastAsia="仿宋_GB2312" w:cs="Times New Roman"/>
          <w:color w:val="auto"/>
          <w:sz w:val="32"/>
          <w:szCs w:val="32"/>
          <w:highlight w:val="none"/>
        </w:rPr>
        <w:t>数据</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完成了基础数据收集。</w:t>
      </w:r>
    </w:p>
    <w:p w14:paraId="047BC054">
      <w:pPr>
        <w:keepNext w:val="0"/>
        <w:keepLines w:val="0"/>
        <w:pageBreakBefore w:val="0"/>
        <w:numPr>
          <w:ilvl w:val="0"/>
          <w:numId w:val="4"/>
        </w:numPr>
        <w:kinsoku/>
        <w:wordWrap/>
        <w:overflowPunct/>
        <w:topLinePunct w:val="0"/>
        <w:autoSpaceDE/>
        <w:autoSpaceDN/>
        <w:bidi w:val="0"/>
        <w:adjustRightInd/>
        <w:snapToGrid/>
        <w:spacing w:line="520" w:lineRule="exact"/>
        <w:ind w:firstLine="640" w:firstLineChars="200"/>
        <w:textAlignment w:val="auto"/>
        <w:rPr>
          <w:sz w:val="32"/>
          <w:szCs w:val="32"/>
        </w:rPr>
      </w:pPr>
      <w:r>
        <w:rPr>
          <w:rFonts w:hint="eastAsia" w:eastAsia="仿宋_GB2312"/>
          <w:bCs/>
          <w:sz w:val="32"/>
          <w:szCs w:val="32"/>
        </w:rPr>
        <w:t>分析评价。按照绩效评价的原则和指标体系，对取得的资料进行审查核实，对采集的数据进行分析，按照绩效评价指标评分表逐项进行打分、分析，汇总各方评价结果，综合分析并形成初步评价结论。</w:t>
      </w:r>
    </w:p>
    <w:p w14:paraId="361138AF">
      <w:pPr>
        <w:keepNext w:val="0"/>
        <w:keepLines w:val="0"/>
        <w:pageBreakBefore w:val="0"/>
        <w:numPr>
          <w:ilvl w:val="0"/>
          <w:numId w:val="5"/>
        </w:numPr>
        <w:kinsoku/>
        <w:wordWrap/>
        <w:overflowPunct/>
        <w:topLinePunct w:val="0"/>
        <w:autoSpaceDE/>
        <w:autoSpaceDN/>
        <w:bidi w:val="0"/>
        <w:adjustRightInd/>
        <w:snapToGrid/>
        <w:spacing w:line="520" w:lineRule="exact"/>
        <w:ind w:firstLine="640" w:firstLineChars="200"/>
        <w:textAlignment w:val="auto"/>
        <w:rPr>
          <w:rFonts w:eastAsia="黑体"/>
          <w:sz w:val="32"/>
          <w:szCs w:val="32"/>
        </w:rPr>
      </w:pPr>
      <w:r>
        <w:rPr>
          <w:rFonts w:eastAsia="黑体"/>
          <w:sz w:val="32"/>
          <w:szCs w:val="32"/>
        </w:rPr>
        <w:t>综合评价情况及评价结论（附相关评分表）</w:t>
      </w:r>
    </w:p>
    <w:p w14:paraId="4AE138B0">
      <w:pPr>
        <w:pStyle w:val="2"/>
        <w:keepNext w:val="0"/>
        <w:keepLines w:val="0"/>
        <w:pageBreakBefore w:val="0"/>
        <w:widowControl/>
        <w:kinsoku/>
        <w:wordWrap/>
        <w:overflowPunct/>
        <w:topLinePunct w:val="0"/>
        <w:autoSpaceDE/>
        <w:autoSpaceDN/>
        <w:bidi w:val="0"/>
        <w:adjustRightInd/>
        <w:snapToGrid/>
        <w:spacing w:before="0" w:after="0" w:line="52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7CE8D642">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04DAD81A">
      <w:pPr>
        <w:pStyle w:val="2"/>
        <w:keepNext w:val="0"/>
        <w:keepLines w:val="0"/>
        <w:pageBreakBefore w:val="0"/>
        <w:widowControl/>
        <w:kinsoku/>
        <w:wordWrap/>
        <w:overflowPunct/>
        <w:topLinePunct w:val="0"/>
        <w:autoSpaceDE/>
        <w:autoSpaceDN/>
        <w:bidi w:val="0"/>
        <w:adjustRightInd/>
        <w:snapToGrid/>
        <w:spacing w:before="0" w:after="0" w:line="52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0424779D">
      <w:pPr>
        <w:pStyle w:val="2"/>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ascii="Times New Roman" w:hAnsi="Times New Roman" w:eastAsia="仿宋_GB2312"/>
          <w:b w:val="0"/>
          <w:bCs w:val="0"/>
          <w:highlight w:val="none"/>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w:t>
      </w: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2023年自治区战略性新兴产业专项</w:t>
      </w:r>
      <w:r>
        <w:rPr>
          <w:rFonts w:hint="eastAsia" w:ascii="Times New Roman" w:hAnsi="Times New Roman" w:eastAsia="仿宋_GB2312"/>
          <w:b w:val="0"/>
          <w:bCs w:val="0"/>
          <w:highlight w:val="none"/>
          <w:lang w:eastAsia="zh-CN"/>
        </w:rPr>
        <w:t>资金</w:t>
      </w:r>
      <w:r>
        <w:rPr>
          <w:rFonts w:ascii="Times New Roman" w:hAnsi="Times New Roman" w:eastAsia="仿宋_GB2312"/>
          <w:b w:val="0"/>
          <w:bCs w:val="0"/>
          <w:highlight w:val="none"/>
        </w:rPr>
        <w:t>项目进行客观评价，最终评分结果：总得分为</w:t>
      </w:r>
      <w:r>
        <w:rPr>
          <w:rFonts w:hint="eastAsia" w:ascii="Times New Roman" w:hAnsi="Times New Roman" w:eastAsia="仿宋_GB2312"/>
          <w:b w:val="0"/>
          <w:bCs w:val="0"/>
          <w:highlight w:val="none"/>
          <w:lang w:val="en-US" w:eastAsia="zh-CN"/>
        </w:rPr>
        <w:t>92.8</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17</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85</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18</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37.8</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94.5</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4316081D"/>
    <w:p w14:paraId="08CB7287">
      <w:pPr>
        <w:pStyle w:val="2"/>
        <w:pageBreakBefore w:val="0"/>
        <w:kinsoku/>
        <w:wordWrap/>
        <w:overflowPunct/>
        <w:topLinePunct w:val="0"/>
        <w:autoSpaceDE/>
        <w:autoSpaceDN/>
        <w:bidi w:val="0"/>
        <w:adjustRightInd/>
        <w:snapToGrid/>
        <w:spacing w:line="520" w:lineRule="exact"/>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p w14:paraId="4244830D">
      <w:pPr>
        <w:pageBreakBefore w:val="0"/>
        <w:kinsoku/>
        <w:wordWrap/>
        <w:overflowPunct/>
        <w:topLinePunct w:val="0"/>
        <w:autoSpaceDE/>
        <w:autoSpaceDN/>
        <w:bidi w:val="0"/>
        <w:adjustRightInd/>
        <w:snapToGrid/>
        <w:spacing w:line="520" w:lineRule="exact"/>
        <w:textAlignment w:val="auto"/>
        <w:rPr>
          <w:rFonts w:ascii="Times New Roman" w:hAnsi="Times New Roman" w:eastAsia="仿宋_GB2312"/>
          <w:sz w:val="30"/>
          <w:szCs w:val="30"/>
        </w:rPr>
      </w:pPr>
    </w:p>
    <w:tbl>
      <w:tblPr>
        <w:tblStyle w:val="21"/>
        <w:tblW w:w="7583" w:type="dxa"/>
        <w:jc w:val="center"/>
        <w:tblLayout w:type="fixed"/>
        <w:tblCellMar>
          <w:top w:w="0" w:type="dxa"/>
          <w:left w:w="108" w:type="dxa"/>
          <w:bottom w:w="0" w:type="dxa"/>
          <w:right w:w="108" w:type="dxa"/>
        </w:tblCellMar>
      </w:tblPr>
      <w:tblGrid>
        <w:gridCol w:w="3137"/>
        <w:gridCol w:w="2168"/>
        <w:gridCol w:w="2278"/>
      </w:tblGrid>
      <w:tr w14:paraId="7DEA5F1B">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56F1DC36">
            <w:pPr>
              <w:pageBreakBefore w:val="0"/>
              <w:kinsoku/>
              <w:wordWrap/>
              <w:overflowPunct/>
              <w:topLinePunct w:val="0"/>
              <w:autoSpaceDE/>
              <w:autoSpaceDN/>
              <w:bidi w:val="0"/>
              <w:adjustRightInd/>
              <w:snapToGrid/>
              <w:spacing w:line="52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F4BE491">
            <w:pPr>
              <w:pageBreakBefore w:val="0"/>
              <w:kinsoku/>
              <w:wordWrap/>
              <w:overflowPunct/>
              <w:topLinePunct w:val="0"/>
              <w:autoSpaceDE/>
              <w:autoSpaceDN/>
              <w:bidi w:val="0"/>
              <w:adjustRightInd/>
              <w:snapToGrid/>
              <w:spacing w:line="52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ADECCCA">
            <w:pPr>
              <w:pageBreakBefore w:val="0"/>
              <w:kinsoku/>
              <w:wordWrap/>
              <w:overflowPunct/>
              <w:topLinePunct w:val="0"/>
              <w:autoSpaceDE/>
              <w:autoSpaceDN/>
              <w:bidi w:val="0"/>
              <w:adjustRightInd/>
              <w:snapToGrid/>
              <w:spacing w:line="520" w:lineRule="exact"/>
              <w:jc w:val="center"/>
              <w:textAlignment w:val="auto"/>
              <w:rPr>
                <w:b/>
                <w:bCs/>
                <w:color w:val="000000"/>
                <w:sz w:val="22"/>
              </w:rPr>
            </w:pPr>
            <w:r>
              <w:rPr>
                <w:rFonts w:hint="eastAsia"/>
                <w:b/>
                <w:bCs/>
                <w:color w:val="000000"/>
                <w:sz w:val="22"/>
              </w:rPr>
              <w:t>得分</w:t>
            </w:r>
          </w:p>
        </w:tc>
      </w:tr>
      <w:tr w14:paraId="4073EDA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CFA02F4">
            <w:pPr>
              <w:pageBreakBefore w:val="0"/>
              <w:kinsoku/>
              <w:wordWrap/>
              <w:overflowPunct/>
              <w:topLinePunct w:val="0"/>
              <w:autoSpaceDE/>
              <w:autoSpaceDN/>
              <w:bidi w:val="0"/>
              <w:adjustRightInd/>
              <w:snapToGrid/>
              <w:spacing w:line="520" w:lineRule="exact"/>
              <w:jc w:val="center"/>
              <w:textAlignment w:val="auto"/>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669C76D7">
            <w:pPr>
              <w:pageBreakBefore w:val="0"/>
              <w:kinsoku/>
              <w:wordWrap/>
              <w:overflowPunct/>
              <w:topLinePunct w:val="0"/>
              <w:autoSpaceDE/>
              <w:autoSpaceDN/>
              <w:bidi w:val="0"/>
              <w:adjustRightInd/>
              <w:snapToGrid/>
              <w:spacing w:line="520" w:lineRule="exact"/>
              <w:jc w:val="center"/>
              <w:textAlignment w:val="auto"/>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138E8AD">
            <w:pPr>
              <w:pageBreakBefore w:val="0"/>
              <w:kinsoku/>
              <w:wordWrap/>
              <w:overflowPunct/>
              <w:topLinePunct w:val="0"/>
              <w:autoSpaceDE/>
              <w:autoSpaceDN/>
              <w:bidi w:val="0"/>
              <w:adjustRightInd/>
              <w:snapToGrid/>
              <w:spacing w:line="520" w:lineRule="exact"/>
              <w:jc w:val="center"/>
              <w:textAlignment w:val="auto"/>
              <w:rPr>
                <w:rFonts w:hint="default" w:eastAsia="宋体"/>
                <w:color w:val="000000"/>
                <w:sz w:val="22"/>
                <w:lang w:val="en-US" w:eastAsia="zh-CN"/>
              </w:rPr>
            </w:pPr>
            <w:r>
              <w:rPr>
                <w:rFonts w:hint="eastAsia"/>
                <w:color w:val="000000"/>
                <w:sz w:val="22"/>
                <w:lang w:val="en-US" w:eastAsia="zh-CN"/>
              </w:rPr>
              <w:t>17</w:t>
            </w:r>
          </w:p>
        </w:tc>
      </w:tr>
      <w:tr w14:paraId="31F8DF3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64C5DD4">
            <w:pPr>
              <w:pageBreakBefore w:val="0"/>
              <w:kinsoku/>
              <w:wordWrap/>
              <w:overflowPunct/>
              <w:topLinePunct w:val="0"/>
              <w:autoSpaceDE/>
              <w:autoSpaceDN/>
              <w:bidi w:val="0"/>
              <w:adjustRightInd/>
              <w:snapToGrid/>
              <w:spacing w:line="520" w:lineRule="exact"/>
              <w:jc w:val="center"/>
              <w:textAlignment w:val="auto"/>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3455970D">
            <w:pPr>
              <w:pageBreakBefore w:val="0"/>
              <w:kinsoku/>
              <w:wordWrap/>
              <w:overflowPunct/>
              <w:topLinePunct w:val="0"/>
              <w:autoSpaceDE/>
              <w:autoSpaceDN/>
              <w:bidi w:val="0"/>
              <w:adjustRightInd/>
              <w:snapToGrid/>
              <w:spacing w:line="520" w:lineRule="exact"/>
              <w:jc w:val="center"/>
              <w:textAlignment w:val="auto"/>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F31114D">
            <w:pPr>
              <w:pageBreakBefore w:val="0"/>
              <w:kinsoku/>
              <w:wordWrap/>
              <w:overflowPunct/>
              <w:topLinePunct w:val="0"/>
              <w:autoSpaceDE/>
              <w:autoSpaceDN/>
              <w:bidi w:val="0"/>
              <w:adjustRightInd/>
              <w:snapToGrid/>
              <w:spacing w:line="520" w:lineRule="exact"/>
              <w:jc w:val="center"/>
              <w:textAlignment w:val="auto"/>
              <w:rPr>
                <w:rFonts w:hint="default" w:eastAsia="宋体"/>
                <w:color w:val="000000"/>
                <w:sz w:val="22"/>
                <w:lang w:val="en-US" w:eastAsia="zh-CN"/>
              </w:rPr>
            </w:pPr>
            <w:r>
              <w:rPr>
                <w:rFonts w:hint="eastAsia"/>
                <w:color w:val="000000"/>
                <w:sz w:val="22"/>
                <w:lang w:val="en-US" w:eastAsia="zh-CN"/>
              </w:rPr>
              <w:t>18</w:t>
            </w:r>
          </w:p>
        </w:tc>
      </w:tr>
      <w:tr w14:paraId="32133AE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75269F5">
            <w:pPr>
              <w:pageBreakBefore w:val="0"/>
              <w:kinsoku/>
              <w:wordWrap/>
              <w:overflowPunct/>
              <w:topLinePunct w:val="0"/>
              <w:autoSpaceDE/>
              <w:autoSpaceDN/>
              <w:bidi w:val="0"/>
              <w:adjustRightInd/>
              <w:snapToGrid/>
              <w:spacing w:line="520" w:lineRule="exact"/>
              <w:jc w:val="center"/>
              <w:textAlignment w:val="auto"/>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4B969A46">
            <w:pPr>
              <w:pageBreakBefore w:val="0"/>
              <w:kinsoku/>
              <w:wordWrap/>
              <w:overflowPunct/>
              <w:topLinePunct w:val="0"/>
              <w:autoSpaceDE/>
              <w:autoSpaceDN/>
              <w:bidi w:val="0"/>
              <w:adjustRightInd/>
              <w:snapToGrid/>
              <w:spacing w:line="520" w:lineRule="exact"/>
              <w:jc w:val="center"/>
              <w:textAlignment w:val="auto"/>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414BCCA6">
            <w:pPr>
              <w:pageBreakBefore w:val="0"/>
              <w:kinsoku/>
              <w:wordWrap/>
              <w:overflowPunct/>
              <w:topLinePunct w:val="0"/>
              <w:autoSpaceDE/>
              <w:autoSpaceDN/>
              <w:bidi w:val="0"/>
              <w:adjustRightInd/>
              <w:snapToGrid/>
              <w:spacing w:line="520" w:lineRule="exact"/>
              <w:jc w:val="center"/>
              <w:textAlignment w:val="auto"/>
              <w:rPr>
                <w:rFonts w:hint="default" w:eastAsia="宋体"/>
                <w:color w:val="000000"/>
                <w:sz w:val="22"/>
                <w:lang w:val="en-US" w:eastAsia="zh-CN"/>
              </w:rPr>
            </w:pPr>
            <w:r>
              <w:rPr>
                <w:rFonts w:hint="eastAsia"/>
                <w:color w:val="000000"/>
                <w:sz w:val="22"/>
                <w:lang w:val="en-US" w:eastAsia="zh-CN"/>
              </w:rPr>
              <w:t>37.8</w:t>
            </w:r>
          </w:p>
        </w:tc>
      </w:tr>
      <w:tr w14:paraId="36E5DC3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54D338E">
            <w:pPr>
              <w:pageBreakBefore w:val="0"/>
              <w:kinsoku/>
              <w:wordWrap/>
              <w:overflowPunct/>
              <w:topLinePunct w:val="0"/>
              <w:autoSpaceDE/>
              <w:autoSpaceDN/>
              <w:bidi w:val="0"/>
              <w:adjustRightInd/>
              <w:snapToGrid/>
              <w:spacing w:line="520" w:lineRule="exact"/>
              <w:jc w:val="center"/>
              <w:textAlignment w:val="auto"/>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629FEBA0">
            <w:pPr>
              <w:pageBreakBefore w:val="0"/>
              <w:kinsoku/>
              <w:wordWrap/>
              <w:overflowPunct/>
              <w:topLinePunct w:val="0"/>
              <w:autoSpaceDE/>
              <w:autoSpaceDN/>
              <w:bidi w:val="0"/>
              <w:adjustRightInd/>
              <w:snapToGrid/>
              <w:spacing w:line="520" w:lineRule="exact"/>
              <w:jc w:val="center"/>
              <w:textAlignment w:val="auto"/>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359294A">
            <w:pPr>
              <w:pageBreakBefore w:val="0"/>
              <w:kinsoku/>
              <w:wordWrap/>
              <w:overflowPunct/>
              <w:topLinePunct w:val="0"/>
              <w:autoSpaceDE/>
              <w:autoSpaceDN/>
              <w:bidi w:val="0"/>
              <w:adjustRightInd/>
              <w:snapToGrid/>
              <w:spacing w:line="520" w:lineRule="exact"/>
              <w:jc w:val="center"/>
              <w:textAlignment w:val="auto"/>
              <w:rPr>
                <w:rFonts w:hint="default" w:eastAsia="宋体"/>
                <w:color w:val="000000"/>
                <w:sz w:val="22"/>
                <w:lang w:val="en-US" w:eastAsia="zh-CN"/>
              </w:rPr>
            </w:pPr>
            <w:r>
              <w:rPr>
                <w:rFonts w:hint="eastAsia"/>
                <w:color w:val="000000"/>
                <w:sz w:val="22"/>
                <w:lang w:val="en-US" w:eastAsia="zh-CN"/>
              </w:rPr>
              <w:t>20</w:t>
            </w:r>
          </w:p>
        </w:tc>
      </w:tr>
      <w:tr w14:paraId="69D673C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DE18DB5">
            <w:pPr>
              <w:pageBreakBefore w:val="0"/>
              <w:kinsoku/>
              <w:wordWrap/>
              <w:overflowPunct/>
              <w:topLinePunct w:val="0"/>
              <w:autoSpaceDE/>
              <w:autoSpaceDN/>
              <w:bidi w:val="0"/>
              <w:adjustRightInd/>
              <w:snapToGrid/>
              <w:spacing w:line="52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4890D0DE">
            <w:pPr>
              <w:pageBreakBefore w:val="0"/>
              <w:kinsoku/>
              <w:wordWrap/>
              <w:overflowPunct/>
              <w:topLinePunct w:val="0"/>
              <w:autoSpaceDE/>
              <w:autoSpaceDN/>
              <w:bidi w:val="0"/>
              <w:adjustRightInd/>
              <w:snapToGrid/>
              <w:spacing w:line="520" w:lineRule="exact"/>
              <w:jc w:val="center"/>
              <w:textAlignment w:val="auto"/>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402E1FA1">
            <w:pPr>
              <w:pageBreakBefore w:val="0"/>
              <w:kinsoku/>
              <w:wordWrap/>
              <w:overflowPunct/>
              <w:topLinePunct w:val="0"/>
              <w:autoSpaceDE/>
              <w:autoSpaceDN/>
              <w:bidi w:val="0"/>
              <w:adjustRightInd/>
              <w:snapToGrid/>
              <w:spacing w:line="520" w:lineRule="exact"/>
              <w:jc w:val="center"/>
              <w:textAlignment w:val="auto"/>
              <w:rPr>
                <w:rFonts w:hint="default" w:eastAsia="宋体"/>
                <w:b/>
                <w:bCs/>
                <w:color w:val="000000"/>
                <w:sz w:val="22"/>
                <w:lang w:val="en-US" w:eastAsia="zh-CN"/>
              </w:rPr>
            </w:pPr>
            <w:r>
              <w:rPr>
                <w:rFonts w:hint="eastAsia"/>
                <w:b/>
                <w:bCs/>
                <w:color w:val="000000"/>
                <w:sz w:val="22"/>
                <w:lang w:val="en-US" w:eastAsia="zh-CN"/>
              </w:rPr>
              <w:t>92.8</w:t>
            </w:r>
          </w:p>
        </w:tc>
      </w:tr>
    </w:tbl>
    <w:p w14:paraId="2B224AAF">
      <w:pPr>
        <w:pageBreakBefore w:val="0"/>
        <w:kinsoku/>
        <w:wordWrap/>
        <w:overflowPunct/>
        <w:topLinePunct w:val="0"/>
        <w:autoSpaceDE/>
        <w:autoSpaceDN/>
        <w:bidi w:val="0"/>
        <w:adjustRightInd/>
        <w:snapToGrid/>
        <w:spacing w:line="520" w:lineRule="exact"/>
        <w:ind w:left="0" w:leftChars="0" w:firstLine="320" w:firstLineChars="100"/>
        <w:textAlignment w:val="auto"/>
        <w:rPr>
          <w:rFonts w:eastAsia="黑体"/>
          <w:sz w:val="32"/>
          <w:szCs w:val="32"/>
        </w:rPr>
      </w:pPr>
      <w:r>
        <w:rPr>
          <w:rFonts w:eastAsia="黑体"/>
          <w:sz w:val="32"/>
          <w:szCs w:val="32"/>
        </w:rPr>
        <w:t>四、绩效评价指标分析</w:t>
      </w:r>
    </w:p>
    <w:p w14:paraId="756697A7">
      <w:pPr>
        <w:pStyle w:val="2"/>
        <w:pageBreakBefore w:val="0"/>
        <w:kinsoku/>
        <w:wordWrap/>
        <w:overflowPunct/>
        <w:topLinePunct w:val="0"/>
        <w:autoSpaceDE/>
        <w:autoSpaceDN/>
        <w:bidi w:val="0"/>
        <w:adjustRightInd/>
        <w:snapToGrid/>
        <w:spacing w:before="0" w:after="0" w:line="520" w:lineRule="exact"/>
        <w:ind w:left="0" w:leftChars="0"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14:paraId="10CB5822">
      <w:pPr>
        <w:pageBreakBefore w:val="0"/>
        <w:shd w:val="clear"/>
        <w:kinsoku/>
        <w:wordWrap/>
        <w:overflowPunct/>
        <w:topLinePunct w:val="0"/>
        <w:autoSpaceDE/>
        <w:autoSpaceDN/>
        <w:bidi w:val="0"/>
        <w:adjustRightInd/>
        <w:snapToGrid/>
        <w:spacing w:line="520" w:lineRule="exact"/>
        <w:ind w:firstLine="600" w:firstLineChars="200"/>
        <w:textAlignment w:val="auto"/>
        <w:outlineLvl w:val="0"/>
        <w:rPr>
          <w:rFonts w:hint="eastAsia" w:ascii="仿宋_GB2312" w:hAnsi="仿宋_GB2312" w:eastAsia="仿宋_GB2312" w:cs="仿宋_GB2312"/>
          <w:sz w:val="30"/>
          <w:szCs w:val="30"/>
          <w:highlight w:val="yellow"/>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项目决策类指标包括项目立项、绩效目标和资金投入三方面的内容，由6个三级指标构成，权重分值为20分，实际得分17分，得分率为85%。</w:t>
      </w:r>
    </w:p>
    <w:p w14:paraId="497A7B29">
      <w:pPr>
        <w:pStyle w:val="54"/>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0C7C45CE">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1ED908AB">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8C62D74">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76C41449">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根据决算依据编制工作计划和经费预算，经过与部门项目分管领导沟通、筛选确定经费预算计划，确定最终预算方案。项目的审批文件、材料符合相关要求，保障了程序的规范性。</w:t>
      </w:r>
    </w:p>
    <w:p w14:paraId="3A74850C">
      <w:pPr>
        <w:pStyle w:val="54"/>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2CB07424">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7198358C">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DA82C9F">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4852B344">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AF0A888">
      <w:pPr>
        <w:pStyle w:val="54"/>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20C9CC55">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18C986E3">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7AA5C29A">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56CE2FF3">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50C771DB">
      <w:pPr>
        <w:pStyle w:val="2"/>
        <w:pageBreakBefore w:val="0"/>
        <w:numPr>
          <w:ilvl w:val="0"/>
          <w:numId w:val="6"/>
        </w:numPr>
        <w:kinsoku/>
        <w:wordWrap/>
        <w:overflowPunct/>
        <w:topLinePunct w:val="0"/>
        <w:autoSpaceDE/>
        <w:autoSpaceDN/>
        <w:bidi w:val="0"/>
        <w:adjustRightInd/>
        <w:snapToGrid/>
        <w:spacing w:before="0" w:after="0" w:line="520" w:lineRule="exact"/>
        <w:ind w:firstLine="643" w:firstLineChars="200"/>
        <w:jc w:val="both"/>
        <w:textAlignment w:val="auto"/>
        <w:rPr>
          <w:rFonts w:ascii="楷体" w:hAnsi="楷体" w:eastAsia="楷体" w:cs="楷体"/>
        </w:rPr>
      </w:pPr>
      <w:r>
        <w:rPr>
          <w:rFonts w:hint="eastAsia" w:ascii="楷体" w:hAnsi="楷体" w:eastAsia="楷体" w:cs="楷体"/>
        </w:rPr>
        <w:t>项目过程情况</w:t>
      </w:r>
    </w:p>
    <w:p w14:paraId="24332407">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，实际得分18分，得分率为90%。</w:t>
      </w:r>
    </w:p>
    <w:p w14:paraId="245DD264">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02CB6EE5">
      <w:pPr>
        <w:pStyle w:val="54"/>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06F91B11">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2E7B6DE8">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本项目总投资800万元，财政资金及时足额到位，到位率100%，</w:t>
      </w:r>
      <w:r>
        <w:rPr>
          <w:rFonts w:hint="eastAsia" w:ascii="仿宋_GB2312" w:hAnsi="仿宋_GB2312" w:eastAsia="仿宋_GB2312" w:cs="仿宋_GB2312"/>
          <w:sz w:val="32"/>
          <w:szCs w:val="32"/>
          <w:lang w:val="en-US" w:eastAsia="zh-CN"/>
        </w:rPr>
        <w:t>预算资金按计划进度执行。</w:t>
      </w:r>
    </w:p>
    <w:p w14:paraId="445C6B20">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549212D3">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预算资金支出800万元，预算执行率为100%</w:t>
      </w:r>
      <w:r>
        <w:rPr>
          <w:rFonts w:hint="eastAsia" w:ascii="仿宋_GB2312" w:hAnsi="仿宋_GB2312" w:eastAsia="仿宋_GB2312" w:cs="仿宋_GB2312"/>
          <w:sz w:val="32"/>
          <w:szCs w:val="32"/>
          <w:lang w:val="en-US" w:eastAsia="zh-CN"/>
        </w:rPr>
        <w:t>。</w:t>
      </w:r>
    </w:p>
    <w:p w14:paraId="0F414C5D">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792F5946">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7D8F64F8">
      <w:pPr>
        <w:pStyle w:val="54"/>
        <w:keepNext w:val="0"/>
        <w:keepLines w:val="0"/>
        <w:pageBreakBefore w:val="0"/>
        <w:widowControl w:val="0"/>
        <w:shd w:val="clear"/>
        <w:kinsoku/>
        <w:wordWrap/>
        <w:overflowPunct/>
        <w:topLinePunct w:val="0"/>
        <w:autoSpaceDE/>
        <w:autoSpaceDN/>
        <w:bidi w:val="0"/>
        <w:adjustRightInd/>
        <w:snapToGrid/>
        <w:spacing w:line="52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133CB2C4">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3BBD9E52">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2E0F06C3">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04B62F55">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5727507D">
      <w:pPr>
        <w:pStyle w:val="2"/>
        <w:pageBreakBefore w:val="0"/>
        <w:kinsoku/>
        <w:wordWrap/>
        <w:overflowPunct/>
        <w:topLinePunct w:val="0"/>
        <w:autoSpaceDE/>
        <w:autoSpaceDN/>
        <w:bidi w:val="0"/>
        <w:adjustRightInd/>
        <w:snapToGrid/>
        <w:spacing w:before="0" w:after="0" w:line="520" w:lineRule="exact"/>
        <w:ind w:left="0" w:leftChars="0"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47363E63">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项目产出类指标包括产出数量、产出质量、产出时效、产出</w:t>
      </w:r>
      <w:r>
        <w:rPr>
          <w:rFonts w:hint="eastAsia" w:ascii="仿宋_GB2312" w:hAnsi="仿宋_GB2312" w:eastAsia="仿宋_GB2312" w:cs="仿宋_GB2312"/>
          <w:sz w:val="32"/>
          <w:szCs w:val="32"/>
          <w:highlight w:val="none"/>
          <w:lang w:val="en-US" w:eastAsia="zh-CN"/>
        </w:rPr>
        <w:t>成本四方面的内容，由7个三级指标构成，权重分为40分，实际得分37.8分，得分率为94.5%。具体产出指标完成情况如下：</w:t>
      </w:r>
    </w:p>
    <w:p w14:paraId="7D0AB838">
      <w:pPr>
        <w:keepNext w:val="0"/>
        <w:keepLines w:val="0"/>
        <w:pageBreakBefore w:val="0"/>
        <w:kinsoku/>
        <w:wordWrap/>
        <w:overflowPunct/>
        <w:topLinePunct w:val="0"/>
        <w:autoSpaceDE/>
        <w:autoSpaceDN/>
        <w:bidi w:val="0"/>
        <w:adjustRightInd/>
        <w:snapToGrid/>
        <w:spacing w:line="520" w:lineRule="exact"/>
        <w:ind w:left="0" w:leftChars="0" w:firstLine="640" w:firstLineChars="200"/>
        <w:textAlignment w:val="auto"/>
        <w:rPr>
          <w:rStyle w:val="23"/>
          <w:rFonts w:eastAsia="仿宋"/>
          <w:b w:val="0"/>
          <w:spacing w:val="-4"/>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Style w:val="23"/>
          <w:rFonts w:eastAsia="仿宋"/>
          <w:b w:val="0"/>
          <w:spacing w:val="-4"/>
          <w:sz w:val="32"/>
          <w:szCs w:val="32"/>
        </w:rPr>
        <w:t>数量指标：</w:t>
      </w:r>
    </w:p>
    <w:p w14:paraId="4CA9F330">
      <w:pPr>
        <w:pStyle w:val="2"/>
        <w:keepNext w:val="0"/>
        <w:keepLines w:val="0"/>
        <w:pageBreakBefore w:val="0"/>
        <w:numPr>
          <w:ilvl w:val="0"/>
          <w:numId w:val="0"/>
        </w:numPr>
        <w:kinsoku/>
        <w:wordWrap/>
        <w:overflowPunct/>
        <w:topLinePunct w:val="0"/>
        <w:autoSpaceDE/>
        <w:autoSpaceDN/>
        <w:bidi w:val="0"/>
        <w:adjustRightInd/>
        <w:snapToGrid/>
        <w:spacing w:before="0" w:after="0" w:line="52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完成重点战略性新兴产业建设项目指标，指标值为8个，实际完成11个，完成率137.5%，偏差率37.5%，偏差原因是2023年度支持项目数量为14个，据此制定2024年预算，支持8个左右项目。实际2024年根据专家打分情况，支持11个重点战略性新兴产业建设项目，高于预计值。</w:t>
      </w:r>
    </w:p>
    <w:p w14:paraId="7AF19E7C">
      <w:pPr>
        <w:pStyle w:val="2"/>
        <w:keepNext w:val="0"/>
        <w:keepLines w:val="0"/>
        <w:pageBreakBefore w:val="0"/>
        <w:numPr>
          <w:ilvl w:val="0"/>
          <w:numId w:val="0"/>
        </w:numPr>
        <w:kinsoku/>
        <w:wordWrap/>
        <w:overflowPunct/>
        <w:topLinePunct w:val="0"/>
        <w:autoSpaceDE/>
        <w:autoSpaceDN/>
        <w:bidi w:val="0"/>
        <w:adjustRightInd/>
        <w:snapToGrid/>
        <w:spacing w:before="0" w:after="0" w:line="52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:完成新模式新业态应用项目指标，指标值为3个，实际完成3个，完成率100%，偏差率为0。</w:t>
      </w:r>
    </w:p>
    <w:p w14:paraId="2D933FDA">
      <w:pPr>
        <w:pStyle w:val="2"/>
        <w:keepNext w:val="0"/>
        <w:keepLines w:val="0"/>
        <w:pageBreakBefore w:val="0"/>
        <w:numPr>
          <w:ilvl w:val="0"/>
          <w:numId w:val="0"/>
        </w:numPr>
        <w:kinsoku/>
        <w:wordWrap/>
        <w:overflowPunct/>
        <w:topLinePunct w:val="0"/>
        <w:autoSpaceDE/>
        <w:autoSpaceDN/>
        <w:bidi w:val="0"/>
        <w:adjustRightInd/>
        <w:snapToGrid/>
        <w:spacing w:before="0" w:after="0" w:line="52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kern w:val="2"/>
          <w:sz w:val="32"/>
          <w:szCs w:val="32"/>
          <w:highlight w:val="none"/>
          <w:lang w:val="en-US" w:eastAsia="zh-CN" w:bidi="ar-SA"/>
        </w:rPr>
        <w:t>:完成首台（套）首批次首版次奖励项目指标，指标值为4个，实际完成9个，完成率225%，偏差率125%,偏差原因是计划2024年拟支持4个左右首台（套）、首批次、首版次产品奖励项目，实际结合地州申报情况，遴选支持9个项目。</w:t>
      </w:r>
    </w:p>
    <w:p w14:paraId="59B3B4B7">
      <w:pPr>
        <w:pageBreakBefore w:val="0"/>
        <w:kinsoku/>
        <w:wordWrap/>
        <w:overflowPunct/>
        <w:topLinePunct w:val="0"/>
        <w:autoSpaceDE/>
        <w:autoSpaceDN/>
        <w:bidi w:val="0"/>
        <w:adjustRightInd/>
        <w:snapToGrid/>
        <w:spacing w:line="520" w:lineRule="exact"/>
        <w:ind w:left="0" w:leftChars="0" w:firstLine="640" w:firstLineChars="200"/>
        <w:textAlignment w:val="auto"/>
        <w:rPr>
          <w:rStyle w:val="53"/>
          <w:rFonts w:hint="eastAsia" w:ascii="Times New Roman" w:hAnsi="Times New Roman" w:eastAsia="仿宋_GB2312" w:cs="Times New Roman"/>
          <w:color w:val="auto"/>
          <w:lang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Style w:val="53"/>
          <w:rFonts w:ascii="Times New Roman" w:hAnsi="Times New Roman" w:cs="Times New Roman"/>
          <w:color w:val="auto"/>
        </w:rPr>
        <w:t>质量指标：</w:t>
      </w:r>
    </w:p>
    <w:p w14:paraId="52261CAF">
      <w:pPr>
        <w:pStyle w:val="2"/>
        <w:keepNext w:val="0"/>
        <w:keepLines w:val="0"/>
        <w:pageBreakBefore w:val="0"/>
        <w:numPr>
          <w:ilvl w:val="0"/>
          <w:numId w:val="0"/>
        </w:numPr>
        <w:kinsoku/>
        <w:wordWrap/>
        <w:overflowPunct/>
        <w:topLinePunct w:val="0"/>
        <w:autoSpaceDE/>
        <w:autoSpaceDN/>
        <w:bidi w:val="0"/>
        <w:adjustRightInd/>
        <w:snapToGrid/>
        <w:spacing w:before="0" w:after="0" w:line="52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:资金使用合规率指标，指标值为100%，实际完成100%，完成率100%，偏差率为0。</w:t>
      </w:r>
    </w:p>
    <w:p w14:paraId="4D9D9596">
      <w:pPr>
        <w:pStyle w:val="2"/>
        <w:keepNext w:val="0"/>
        <w:keepLines w:val="0"/>
        <w:pageBreakBefore w:val="0"/>
        <w:numPr>
          <w:ilvl w:val="0"/>
          <w:numId w:val="0"/>
        </w:numPr>
        <w:kinsoku/>
        <w:wordWrap/>
        <w:overflowPunct/>
        <w:topLinePunct w:val="0"/>
        <w:autoSpaceDE/>
        <w:autoSpaceDN/>
        <w:bidi w:val="0"/>
        <w:adjustRightInd/>
        <w:snapToGrid/>
        <w:spacing w:before="0" w:after="0" w:line="520" w:lineRule="exact"/>
        <w:ind w:left="0" w:leftChars="0" w:firstLine="640" w:firstLineChars="200"/>
        <w:jc w:val="left"/>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fldChar w:fldCharType="begin"/>
      </w:r>
      <w:r>
        <w:rPr>
          <w:rFonts w:hint="eastAsia" w:ascii="仿宋_GB2312" w:hAnsi="仿宋_GB2312" w:eastAsia="仿宋_GB2312" w:cs="仿宋_GB2312"/>
          <w:b w:val="0"/>
          <w:bCs w:val="0"/>
          <w:sz w:val="32"/>
          <w:szCs w:val="32"/>
          <w:highlight w:val="none"/>
        </w:rPr>
        <w:instrText xml:space="preserve"> = 3 \* GB3 </w:instrText>
      </w:r>
      <w:r>
        <w:rPr>
          <w:rFonts w:hint="eastAsia" w:ascii="仿宋_GB2312" w:hAnsi="仿宋_GB2312" w:eastAsia="仿宋_GB2312" w:cs="仿宋_GB2312"/>
          <w:b w:val="0"/>
          <w:bCs w:val="0"/>
          <w:sz w:val="32"/>
          <w:szCs w:val="32"/>
          <w:highlight w:val="none"/>
        </w:rPr>
        <w:fldChar w:fldCharType="separate"/>
      </w:r>
      <w:r>
        <w:rPr>
          <w:rFonts w:hint="eastAsia" w:ascii="仿宋_GB2312" w:hAnsi="仿宋_GB2312" w:eastAsia="仿宋_GB2312" w:cs="仿宋_GB2312"/>
          <w:b w:val="0"/>
          <w:bCs w:val="0"/>
          <w:sz w:val="32"/>
          <w:szCs w:val="32"/>
          <w:highlight w:val="none"/>
        </w:rPr>
        <w:t>③</w:t>
      </w:r>
      <w:r>
        <w:rPr>
          <w:rFonts w:hint="eastAsia" w:ascii="仿宋_GB2312" w:hAnsi="仿宋_GB2312" w:eastAsia="仿宋_GB2312" w:cs="仿宋_GB2312"/>
          <w:b w:val="0"/>
          <w:bCs w:val="0"/>
          <w:sz w:val="32"/>
          <w:szCs w:val="32"/>
          <w:highlight w:val="none"/>
        </w:rPr>
        <w:fldChar w:fldCharType="end"/>
      </w:r>
      <w:r>
        <w:rPr>
          <w:rFonts w:hint="eastAsia" w:ascii="仿宋_GB2312" w:hAnsi="仿宋_GB2312" w:eastAsia="仿宋_GB2312" w:cs="仿宋_GB2312"/>
          <w:b w:val="0"/>
          <w:bCs w:val="0"/>
          <w:sz w:val="32"/>
          <w:szCs w:val="32"/>
          <w:highlight w:val="none"/>
        </w:rPr>
        <w:t>时效指标</w:t>
      </w:r>
      <w:r>
        <w:rPr>
          <w:rFonts w:hint="eastAsia" w:ascii="仿宋_GB2312" w:hAnsi="仿宋_GB2312" w:eastAsia="仿宋_GB2312" w:cs="仿宋_GB2312"/>
          <w:b w:val="0"/>
          <w:bCs w:val="0"/>
          <w:sz w:val="32"/>
          <w:szCs w:val="32"/>
          <w:highlight w:val="none"/>
          <w:lang w:eastAsia="zh-CN"/>
        </w:rPr>
        <w:t>：</w:t>
      </w:r>
    </w:p>
    <w:p w14:paraId="1BA6EBDA">
      <w:pPr>
        <w:pStyle w:val="2"/>
        <w:pageBreakBefore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lang w:eastAsia="zh-CN"/>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w:t>
      </w:r>
      <w:r>
        <w:rPr>
          <w:rStyle w:val="53"/>
          <w:rFonts w:hint="eastAsia" w:ascii="Times New Roman" w:hAnsi="Times New Roman" w:cs="Times New Roman"/>
          <w:b w:val="0"/>
          <w:bCs w:val="0"/>
          <w:color w:val="auto"/>
          <w:kern w:val="2"/>
          <w:lang w:val="en-US" w:eastAsia="zh-CN" w:bidi="ar-SA"/>
        </w:rPr>
        <w:t>资金拨付及时率指标，</w:t>
      </w:r>
      <w:r>
        <w:rPr>
          <w:rFonts w:hint="eastAsia" w:ascii="仿宋_GB2312" w:hAnsi="仿宋_GB2312" w:eastAsia="仿宋_GB2312" w:cs="仿宋_GB2312"/>
          <w:b w:val="0"/>
          <w:bCs w:val="0"/>
          <w:kern w:val="2"/>
          <w:sz w:val="32"/>
          <w:szCs w:val="32"/>
          <w:highlight w:val="none"/>
          <w:lang w:val="en-US" w:eastAsia="zh-CN" w:bidi="ar-SA"/>
        </w:rPr>
        <w:t>指标值为80%，实际完成80%，完成率100%，偏差率为0。</w:t>
      </w:r>
    </w:p>
    <w:p w14:paraId="537F5456">
      <w:pPr>
        <w:pStyle w:val="2"/>
        <w:pageBreakBefore w:val="0"/>
        <w:kinsoku/>
        <w:wordWrap/>
        <w:overflowPunct/>
        <w:topLinePunct w:val="0"/>
        <w:autoSpaceDE/>
        <w:autoSpaceDN/>
        <w:bidi w:val="0"/>
        <w:adjustRightInd/>
        <w:snapToGrid/>
        <w:spacing w:before="0" w:after="0" w:line="520" w:lineRule="exact"/>
        <w:ind w:left="0" w:leftChars="0" w:firstLine="640" w:firstLineChars="200"/>
        <w:jc w:val="both"/>
        <w:textAlignment w:val="auto"/>
        <w:rPr>
          <w:rStyle w:val="53"/>
          <w:rFonts w:ascii="Times New Roman" w:hAnsi="Times New Roman" w:cs="Times New Roman"/>
          <w:b w:val="0"/>
          <w:bCs w:val="0"/>
          <w:color w:val="auto"/>
        </w:rPr>
      </w:pPr>
      <w:r>
        <w:rPr>
          <w:rFonts w:hint="eastAsia" w:ascii="仿宋_GB2312" w:hAnsi="仿宋_GB2312" w:eastAsia="仿宋_GB2312" w:cs="仿宋_GB2312"/>
          <w:b w:val="0"/>
          <w:bCs w:val="0"/>
          <w:sz w:val="32"/>
          <w:szCs w:val="32"/>
          <w:highlight w:val="none"/>
        </w:rPr>
        <w:fldChar w:fldCharType="begin"/>
      </w:r>
      <w:r>
        <w:rPr>
          <w:rFonts w:hint="eastAsia" w:ascii="仿宋_GB2312" w:hAnsi="仿宋_GB2312" w:eastAsia="仿宋_GB2312" w:cs="仿宋_GB2312"/>
          <w:b w:val="0"/>
          <w:bCs w:val="0"/>
          <w:sz w:val="32"/>
          <w:szCs w:val="32"/>
          <w:highlight w:val="none"/>
        </w:rPr>
        <w:instrText xml:space="preserve"> = 4 \* GB3 </w:instrText>
      </w:r>
      <w:r>
        <w:rPr>
          <w:rFonts w:hint="eastAsia" w:ascii="仿宋_GB2312" w:hAnsi="仿宋_GB2312" w:eastAsia="仿宋_GB2312" w:cs="仿宋_GB2312"/>
          <w:b w:val="0"/>
          <w:bCs w:val="0"/>
          <w:sz w:val="32"/>
          <w:szCs w:val="32"/>
          <w:highlight w:val="none"/>
        </w:rPr>
        <w:fldChar w:fldCharType="separate"/>
      </w:r>
      <w:r>
        <w:rPr>
          <w:rFonts w:hint="eastAsia" w:ascii="仿宋_GB2312" w:hAnsi="仿宋_GB2312" w:eastAsia="仿宋_GB2312" w:cs="仿宋_GB2312"/>
          <w:b w:val="0"/>
          <w:bCs w:val="0"/>
          <w:sz w:val="32"/>
          <w:szCs w:val="32"/>
          <w:highlight w:val="none"/>
        </w:rPr>
        <w:t>④</w:t>
      </w:r>
      <w:r>
        <w:rPr>
          <w:rFonts w:hint="eastAsia" w:ascii="仿宋_GB2312" w:hAnsi="仿宋_GB2312" w:eastAsia="仿宋_GB2312" w:cs="仿宋_GB2312"/>
          <w:b w:val="0"/>
          <w:bCs w:val="0"/>
          <w:sz w:val="32"/>
          <w:szCs w:val="32"/>
          <w:highlight w:val="none"/>
        </w:rPr>
        <w:fldChar w:fldCharType="end"/>
      </w:r>
      <w:r>
        <w:rPr>
          <w:rStyle w:val="53"/>
          <w:rFonts w:ascii="Times New Roman" w:hAnsi="Times New Roman" w:cs="Times New Roman"/>
          <w:b w:val="0"/>
          <w:bCs w:val="0"/>
          <w:color w:val="auto"/>
        </w:rPr>
        <w:t>成本指标：</w:t>
      </w:r>
    </w:p>
    <w:p w14:paraId="2C1B98D8">
      <w:pPr>
        <w:pStyle w:val="2"/>
        <w:keepNext w:val="0"/>
        <w:keepLines w:val="0"/>
        <w:pageBreakBefore w:val="0"/>
        <w:numPr>
          <w:ilvl w:val="0"/>
          <w:numId w:val="0"/>
        </w:numPr>
        <w:kinsoku/>
        <w:wordWrap/>
        <w:overflowPunct/>
        <w:topLinePunct w:val="0"/>
        <w:autoSpaceDE/>
        <w:autoSpaceDN/>
        <w:bidi w:val="0"/>
        <w:adjustRightInd/>
        <w:snapToGrid/>
        <w:spacing w:before="0" w:after="0" w:line="52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:重点战略性新兴产业建设项目指标，指标值为500万元，实际完成505万元，完成率101%，偏差率1%。主要是由于重点战略性新兴产业建设项目支持数高于预计值，所以资金支持略高于预计值。</w:t>
      </w:r>
    </w:p>
    <w:p w14:paraId="01A4E4B8">
      <w:pPr>
        <w:pageBreakBefore w:val="0"/>
        <w:kinsoku/>
        <w:wordWrap/>
        <w:overflowPunct/>
        <w:topLinePunct w:val="0"/>
        <w:autoSpaceDE/>
        <w:autoSpaceDN/>
        <w:bidi w:val="0"/>
        <w:adjustRightInd/>
        <w:snapToGrid/>
        <w:spacing w:line="520" w:lineRule="exact"/>
        <w:ind w:left="0" w:leftChars="0" w:firstLine="640" w:firstLineChars="200"/>
        <w:textAlignment w:val="auto"/>
        <w:rPr>
          <w:rStyle w:val="53"/>
          <w:rFonts w:ascii="Times New Roman" w:hAnsi="Times New Roman" w:cs="Times New Roman"/>
          <w:color w:val="auto"/>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sz w:val="32"/>
          <w:szCs w:val="32"/>
          <w:lang w:val="en-US" w:eastAsia="zh-CN"/>
        </w:rPr>
        <w:t>新模式新业态及首台（套）奖励成本,指标值为300万元，实际完成295万元，完成率98.33%，偏差率1.66%。偏差原因主要是要根据项目投入资金或三首产品销售收入进行资金划分，无法做到严格与绩效目标匹配，因此实际支持资金295万略低于绩效目标300万元。</w:t>
      </w:r>
    </w:p>
    <w:p w14:paraId="02592BD1">
      <w:pPr>
        <w:pStyle w:val="2"/>
        <w:pageBreakBefore w:val="0"/>
        <w:kinsoku/>
        <w:wordWrap/>
        <w:overflowPunct/>
        <w:topLinePunct w:val="0"/>
        <w:autoSpaceDE/>
        <w:autoSpaceDN/>
        <w:bidi w:val="0"/>
        <w:adjustRightInd/>
        <w:snapToGrid/>
        <w:spacing w:before="0" w:after="0" w:line="520" w:lineRule="exact"/>
        <w:ind w:left="0" w:leftChars="0" w:firstLine="321" w:firstLineChars="100"/>
        <w:jc w:val="both"/>
        <w:textAlignment w:val="auto"/>
        <w:rPr>
          <w:rFonts w:hint="eastAsia" w:ascii="Times New Roman" w:hAnsi="Times New Roman" w:eastAsia="楷体_GB2312"/>
          <w:lang w:eastAsia="zh-CN"/>
        </w:rPr>
      </w:pPr>
      <w:r>
        <w:rPr>
          <w:rFonts w:hint="eastAsia" w:ascii="Times New Roman" w:hAnsi="Times New Roman" w:eastAsia="楷体_GB2312"/>
        </w:rPr>
        <w:t>（四）</w:t>
      </w:r>
      <w:r>
        <w:rPr>
          <w:rFonts w:ascii="Times New Roman" w:hAnsi="Times New Roman" w:eastAsia="楷体_GB2312"/>
        </w:rPr>
        <w:t>效益情况</w:t>
      </w:r>
      <w:r>
        <w:rPr>
          <w:rFonts w:hint="eastAsia" w:ascii="Times New Roman" w:hAnsi="Times New Roman" w:eastAsia="楷体_GB2312"/>
          <w:lang w:eastAsia="zh-CN"/>
        </w:rPr>
        <w:t>情况</w:t>
      </w:r>
    </w:p>
    <w:p w14:paraId="274C4DD0">
      <w:pPr>
        <w:pageBreakBefore w:val="0"/>
        <w:shd w:val="clear"/>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项目效益类指标包括项目实施效益和满意度两方面的内容，由4个三级指标构成，权重分为20分，实际得分20分，得分率为100%。具体效</w:t>
      </w:r>
      <w:r>
        <w:rPr>
          <w:rFonts w:hint="eastAsia" w:ascii="仿宋_GB2312" w:hAnsi="仿宋_GB2312" w:eastAsia="仿宋_GB2312" w:cs="仿宋_GB2312"/>
          <w:sz w:val="32"/>
          <w:szCs w:val="32"/>
          <w:lang w:val="en-US" w:eastAsia="zh-CN"/>
        </w:rPr>
        <w:t>益指标及满意度指标完成情况如下：</w:t>
      </w:r>
    </w:p>
    <w:p w14:paraId="62EE232A">
      <w:pPr>
        <w:pageBreakBefore w:val="0"/>
        <w:kinsoku/>
        <w:wordWrap/>
        <w:overflowPunct/>
        <w:topLinePunct w:val="0"/>
        <w:autoSpaceDE/>
        <w:autoSpaceDN/>
        <w:bidi w:val="0"/>
        <w:adjustRightInd/>
        <w:snapToGrid/>
        <w:spacing w:line="520" w:lineRule="exact"/>
        <w:ind w:left="0" w:leftChars="0" w:firstLine="640" w:firstLineChars="200"/>
        <w:textAlignment w:val="auto"/>
        <w:rPr>
          <w:rStyle w:val="53"/>
          <w:rFonts w:hint="eastAsia" w:ascii="Times New Roman" w:hAnsi="Times New Roman" w:eastAsia="仿宋_GB2312" w:cs="Times New Roman"/>
          <w:color w:val="auto"/>
          <w:lang w:eastAsia="zh-CN"/>
        </w:rPr>
      </w:pPr>
      <w:r>
        <w:rPr>
          <w:rStyle w:val="53"/>
          <w:rFonts w:hint="eastAsia" w:eastAsia="仿宋_GB2312" w:cs="Times New Roman"/>
          <w:color w:val="auto"/>
          <w:lang w:val="en-US" w:eastAsia="zh-CN"/>
        </w:rPr>
        <w:t>1.</w:t>
      </w:r>
      <w:r>
        <w:rPr>
          <w:rStyle w:val="53"/>
          <w:rFonts w:hint="eastAsia" w:eastAsia="仿宋_GB2312" w:cs="Times New Roman"/>
          <w:color w:val="auto"/>
          <w:lang w:eastAsia="zh-CN"/>
        </w:rPr>
        <w:t>实施效益</w:t>
      </w:r>
    </w:p>
    <w:p w14:paraId="6BADCA69">
      <w:pPr>
        <w:pStyle w:val="2"/>
        <w:keepNext w:val="0"/>
        <w:keepLines w:val="0"/>
        <w:pageBreakBefore w:val="0"/>
        <w:numPr>
          <w:ilvl w:val="0"/>
          <w:numId w:val="0"/>
        </w:numPr>
        <w:kinsoku/>
        <w:wordWrap/>
        <w:overflowPunct/>
        <w:topLinePunct w:val="0"/>
        <w:autoSpaceDE/>
        <w:autoSpaceDN/>
        <w:bidi w:val="0"/>
        <w:adjustRightInd/>
        <w:snapToGrid/>
        <w:spacing w:before="0" w:after="0" w:line="520" w:lineRule="exact"/>
        <w:ind w:left="0" w:leftChars="0" w:firstLine="640" w:firstLineChars="200"/>
        <w:jc w:val="left"/>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①</w:t>
      </w:r>
      <w:r>
        <w:rPr>
          <w:rFonts w:hint="eastAsia" w:ascii="仿宋_GB2312" w:hAnsi="仿宋_GB2312" w:eastAsia="仿宋_GB2312" w:cs="仿宋_GB2312"/>
          <w:b w:val="0"/>
          <w:bCs w:val="0"/>
          <w:sz w:val="32"/>
          <w:szCs w:val="32"/>
          <w:highlight w:val="none"/>
        </w:rPr>
        <w:t>经济效益指标：</w:t>
      </w:r>
    </w:p>
    <w:p w14:paraId="67E5BF3A">
      <w:pPr>
        <w:pStyle w:val="2"/>
        <w:keepNext w:val="0"/>
        <w:keepLines w:val="0"/>
        <w:pageBreakBefore w:val="0"/>
        <w:numPr>
          <w:ilvl w:val="0"/>
          <w:numId w:val="0"/>
        </w:numPr>
        <w:kinsoku/>
        <w:wordWrap/>
        <w:overflowPunct/>
        <w:topLinePunct w:val="0"/>
        <w:autoSpaceDE/>
        <w:autoSpaceDN/>
        <w:bidi w:val="0"/>
        <w:adjustRightInd/>
        <w:snapToGrid/>
        <w:spacing w:before="0" w:after="0" w:line="520" w:lineRule="exact"/>
        <w:ind w:left="0" w:leftChars="0" w:firstLine="640" w:firstLineChars="200"/>
        <w:jc w:val="left"/>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w:t>
      </w:r>
      <w:r>
        <w:rPr>
          <w:rStyle w:val="53"/>
          <w:rFonts w:hint="eastAsia" w:ascii="Times New Roman" w:hAnsi="Times New Roman" w:cs="Times New Roman"/>
          <w:b w:val="0"/>
          <w:bCs w:val="0"/>
          <w:color w:val="auto"/>
          <w:kern w:val="2"/>
          <w:highlight w:val="none"/>
          <w:lang w:val="en-US" w:eastAsia="zh-CN" w:bidi="ar-SA"/>
        </w:rPr>
        <w:t>引导战新企业社会投资指标，</w:t>
      </w:r>
      <w:r>
        <w:rPr>
          <w:rFonts w:hint="eastAsia" w:ascii="仿宋_GB2312" w:hAnsi="仿宋_GB2312" w:eastAsia="仿宋_GB2312" w:cs="仿宋_GB2312"/>
          <w:b w:val="0"/>
          <w:bCs w:val="0"/>
          <w:kern w:val="2"/>
          <w:sz w:val="32"/>
          <w:szCs w:val="32"/>
          <w:highlight w:val="none"/>
          <w:lang w:val="en-US" w:eastAsia="zh-CN" w:bidi="ar-SA"/>
        </w:rPr>
        <w:t>指标值为1亿元，实际完成1.08亿元，完成率108%，偏差率8%。偏差原因是考虑受大环境经济因素影响，企业2023年投资额增速幅度不大，参考上年1亿元指标设置数值。2024年经济稳步增长，企业投资额增大。</w:t>
      </w:r>
    </w:p>
    <w:p w14:paraId="7823B10A">
      <w:pPr>
        <w:pStyle w:val="2"/>
        <w:keepNext w:val="0"/>
        <w:keepLines w:val="0"/>
        <w:pageBreakBefore w:val="0"/>
        <w:numPr>
          <w:ilvl w:val="0"/>
          <w:numId w:val="0"/>
        </w:numPr>
        <w:kinsoku/>
        <w:wordWrap/>
        <w:overflowPunct/>
        <w:topLinePunct w:val="0"/>
        <w:autoSpaceDE/>
        <w:autoSpaceDN/>
        <w:bidi w:val="0"/>
        <w:adjustRightInd/>
        <w:snapToGrid/>
        <w:spacing w:before="0" w:after="0" w:line="520" w:lineRule="exact"/>
        <w:ind w:left="0" w:lef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:新增企业工业总产值指标，指标值为1亿元，实际完成1.02亿元，完成率102%，偏差率2%。偏差原因是参考上年企业完成的1亿元指标设置数值。2024年经济稳步增长，企业工业总产值大幅提升。</w:t>
      </w:r>
    </w:p>
    <w:p w14:paraId="6F23FA40">
      <w:pPr>
        <w:pStyle w:val="2"/>
        <w:pageBreakBefore w:val="0"/>
        <w:kinsoku/>
        <w:wordWrap/>
        <w:overflowPunct/>
        <w:topLinePunct w:val="0"/>
        <w:autoSpaceDE/>
        <w:autoSpaceDN/>
        <w:bidi w:val="0"/>
        <w:adjustRightInd/>
        <w:snapToGrid/>
        <w:spacing w:before="0" w:after="0" w:line="520" w:lineRule="exact"/>
        <w:ind w:left="0" w:leftChars="0" w:firstLine="640" w:firstLineChars="200"/>
        <w:jc w:val="left"/>
        <w:textAlignment w:val="auto"/>
        <w:rPr>
          <w:rStyle w:val="53"/>
          <w:rFonts w:ascii="Times New Roman" w:hAnsi="Times New Roman" w:cs="Times New Roman"/>
          <w:b w:val="0"/>
          <w:bCs w:val="0"/>
          <w:color w:val="auto"/>
        </w:rPr>
      </w:pPr>
      <w:r>
        <w:rPr>
          <w:rFonts w:hint="eastAsia" w:ascii="仿宋_GB2312" w:hAnsi="仿宋_GB2312" w:eastAsia="仿宋_GB2312" w:cs="仿宋_GB2312"/>
          <w:b w:val="0"/>
          <w:bCs w:val="0"/>
          <w:sz w:val="32"/>
          <w:szCs w:val="32"/>
          <w:highlight w:val="none"/>
          <w:lang w:val="en-US" w:eastAsia="zh-CN"/>
        </w:rPr>
        <w:t>②</w:t>
      </w:r>
      <w:r>
        <w:rPr>
          <w:rStyle w:val="53"/>
          <w:rFonts w:ascii="Times New Roman" w:hAnsi="Times New Roman" w:cs="Times New Roman"/>
          <w:b w:val="0"/>
          <w:bCs w:val="0"/>
          <w:color w:val="auto"/>
        </w:rPr>
        <w:t>社会效益指标：</w:t>
      </w:r>
    </w:p>
    <w:p w14:paraId="1CDE2C38">
      <w:pPr>
        <w:pStyle w:val="2"/>
        <w:pageBreakBefore w:val="0"/>
        <w:kinsoku/>
        <w:wordWrap/>
        <w:overflowPunct/>
        <w:topLinePunct w:val="0"/>
        <w:autoSpaceDE/>
        <w:autoSpaceDN/>
        <w:bidi w:val="0"/>
        <w:adjustRightInd/>
        <w:snapToGrid/>
        <w:spacing w:before="0" w:after="0" w:line="520" w:lineRule="exact"/>
        <w:ind w:left="0" w:leftChars="0"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b w:val="0"/>
          <w:bCs w:val="0"/>
        </w:rPr>
        <w:t>推进人工智能、大数据等新模式新业态与实体经济融合</w:t>
      </w:r>
      <w:r>
        <w:rPr>
          <w:rStyle w:val="53"/>
          <w:rFonts w:hint="eastAsia" w:ascii="Times New Roman" w:hAnsi="Times New Roman" w:cs="Times New Roman"/>
          <w:b w:val="0"/>
          <w:bCs w:val="0"/>
          <w:color w:val="auto"/>
          <w:kern w:val="2"/>
          <w:highlight w:val="none"/>
          <w:lang w:val="en-US" w:eastAsia="zh-CN" w:bidi="ar-SA"/>
        </w:rPr>
        <w:t>指标，</w:t>
      </w:r>
      <w:r>
        <w:rPr>
          <w:rFonts w:hint="eastAsia" w:ascii="仿宋_GB2312" w:hAnsi="仿宋_GB2312" w:eastAsia="仿宋_GB2312" w:cs="仿宋_GB2312"/>
          <w:b w:val="0"/>
          <w:bCs w:val="0"/>
          <w:kern w:val="2"/>
          <w:sz w:val="32"/>
          <w:szCs w:val="32"/>
          <w:highlight w:val="none"/>
          <w:lang w:val="en-US" w:eastAsia="zh-CN" w:bidi="ar-SA"/>
        </w:rPr>
        <w:t>指标值为有效推进，实际完成有效推进，完成率100%，偏差率0%。</w:t>
      </w:r>
    </w:p>
    <w:p w14:paraId="54B5ACB7">
      <w:pPr>
        <w:pageBreakBefore w:val="0"/>
        <w:kinsoku/>
        <w:wordWrap/>
        <w:overflowPunct/>
        <w:topLinePunct w:val="0"/>
        <w:autoSpaceDE/>
        <w:autoSpaceDN/>
        <w:bidi w:val="0"/>
        <w:adjustRightInd/>
        <w:snapToGrid/>
        <w:spacing w:line="520" w:lineRule="exact"/>
        <w:ind w:left="0" w:leftChars="0" w:firstLine="640" w:firstLineChars="200"/>
        <w:textAlignment w:val="auto"/>
        <w:rPr>
          <w:rStyle w:val="53"/>
          <w:rFonts w:ascii="Times New Roman" w:hAnsi="Times New Roman" w:cs="Times New Roman"/>
          <w:color w:val="auto"/>
        </w:rPr>
      </w:pPr>
      <w:r>
        <w:rPr>
          <w:rStyle w:val="53"/>
          <w:rFonts w:hint="eastAsia" w:eastAsia="仿宋_GB2312" w:cs="Times New Roman"/>
          <w:color w:val="auto"/>
          <w:lang w:val="en-US" w:eastAsia="zh-CN"/>
        </w:rPr>
        <w:t>2.</w:t>
      </w:r>
      <w:r>
        <w:rPr>
          <w:rStyle w:val="53"/>
          <w:rFonts w:ascii="Times New Roman" w:hAnsi="Times New Roman" w:cs="Times New Roman"/>
          <w:color w:val="auto"/>
        </w:rPr>
        <w:t>满意度</w:t>
      </w:r>
    </w:p>
    <w:p w14:paraId="2BFE1D90">
      <w:pPr>
        <w:pStyle w:val="2"/>
        <w:keepNext w:val="0"/>
        <w:keepLines w:val="0"/>
        <w:pageBreakBefore w:val="0"/>
        <w:numPr>
          <w:ilvl w:val="0"/>
          <w:numId w:val="0"/>
        </w:numPr>
        <w:kinsoku/>
        <w:wordWrap/>
        <w:overflowPunct/>
        <w:topLinePunct w:val="0"/>
        <w:autoSpaceDE/>
        <w:autoSpaceDN/>
        <w:bidi w:val="0"/>
        <w:adjustRightInd/>
        <w:snapToGrid/>
        <w:spacing w:before="0" w:after="0" w:line="520" w:lineRule="exact"/>
        <w:ind w:left="0" w:leftChars="0" w:firstLine="640" w:firstLineChars="200"/>
        <w:jc w:val="left"/>
        <w:textAlignment w:val="auto"/>
        <w:rPr>
          <w:rFonts w:hint="default"/>
          <w:highlight w:val="none"/>
          <w:lang w:val="en-US"/>
        </w:rPr>
      </w:pPr>
      <w:r>
        <w:rPr>
          <w:rStyle w:val="53"/>
          <w:rFonts w:hint="eastAsia" w:ascii="Times New Roman" w:hAnsi="Times New Roman" w:cs="Times New Roman"/>
          <w:b w:val="0"/>
          <w:bCs w:val="0"/>
          <w:color w:val="auto"/>
          <w:kern w:val="2"/>
          <w:highlight w:val="none"/>
          <w:lang w:val="en-US" w:eastAsia="zh-CN" w:bidi="ar-SA"/>
        </w:rPr>
        <w:t>满意度指标：企业满意度指标，</w:t>
      </w:r>
      <w:r>
        <w:rPr>
          <w:rFonts w:hint="eastAsia" w:ascii="仿宋_GB2312" w:hAnsi="仿宋_GB2312" w:eastAsia="仿宋_GB2312" w:cs="仿宋_GB2312"/>
          <w:b w:val="0"/>
          <w:bCs w:val="0"/>
          <w:kern w:val="2"/>
          <w:sz w:val="32"/>
          <w:szCs w:val="32"/>
          <w:highlight w:val="none"/>
          <w:lang w:val="en-US" w:eastAsia="zh-CN" w:bidi="ar-SA"/>
        </w:rPr>
        <w:t>指标值为90%，实际完成90%，完成率100%，偏差率0%。</w:t>
      </w:r>
    </w:p>
    <w:p w14:paraId="340865D9">
      <w:pPr>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kern w:val="28"/>
          <w:sz w:val="32"/>
          <w:szCs w:val="32"/>
          <w:lang w:val="en-US" w:eastAsia="zh-Hans" w:bidi="ar-SA"/>
        </w:rPr>
      </w:pPr>
      <w:r>
        <w:rPr>
          <w:rFonts w:hint="eastAsia" w:ascii="仿宋_GB2312" w:hAnsi="仿宋_GB2312" w:eastAsia="仿宋_GB2312" w:cs="仿宋_GB2312"/>
          <w:b w:val="0"/>
          <w:bCs w:val="0"/>
          <w:kern w:val="28"/>
          <w:sz w:val="32"/>
          <w:szCs w:val="32"/>
          <w:lang w:val="en-US" w:eastAsia="zh-Hans" w:bidi="ar-SA"/>
        </w:rPr>
        <w:t>五、预算执行进度与绩效指标总体完成率偏差</w:t>
      </w:r>
      <w:r>
        <w:rPr>
          <w:rFonts w:hint="eastAsia" w:ascii="仿宋_GB2312" w:hAnsi="仿宋_GB2312" w:eastAsia="仿宋_GB2312" w:cs="仿宋_GB2312"/>
          <w:b w:val="0"/>
          <w:bCs w:val="0"/>
          <w:kern w:val="28"/>
          <w:sz w:val="32"/>
          <w:szCs w:val="32"/>
          <w:lang w:val="en-US" w:eastAsia="zh-CN" w:bidi="ar-SA"/>
        </w:rPr>
        <w:commentReference w:id="0"/>
      </w:r>
    </w:p>
    <w:p w14:paraId="6F0CA761">
      <w:pPr>
        <w:pStyle w:val="54"/>
        <w:pageBreakBefore w:val="0"/>
        <w:kinsoku/>
        <w:wordWrap/>
        <w:overflowPunct/>
        <w:topLinePunct w:val="0"/>
        <w:autoSpaceDE/>
        <w:autoSpaceDN/>
        <w:bidi w:val="0"/>
        <w:adjustRightInd/>
        <w:snapToGrid/>
        <w:spacing w:line="520" w:lineRule="exact"/>
        <w:ind w:firstLine="640"/>
        <w:textAlignment w:val="auto"/>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自治区战略性新兴产业专项资金项目项目年初预算800万元，全年预算800万元，实际支出800万元，预算执行率为100%，项目绩效指标总体完成率为115.62%，</w:t>
      </w:r>
      <w:r>
        <w:rPr>
          <w:rFonts w:hint="eastAsia" w:ascii="仿宋_GB2312" w:hAnsi="仿宋_GB2312" w:eastAsia="仿宋_GB2312" w:cs="仿宋_GB2312"/>
          <w:b w:val="0"/>
          <w:bCs w:val="0"/>
          <w:kern w:val="28"/>
          <w:sz w:val="32"/>
          <w:szCs w:val="32"/>
          <w:lang w:val="en-US" w:eastAsia="zh-Hans" w:bidi="ar-SA"/>
        </w:rPr>
        <w:t>总体</w:t>
      </w:r>
      <w:r>
        <w:rPr>
          <w:rFonts w:hint="eastAsia" w:ascii="仿宋_GB2312" w:hAnsi="仿宋_GB2312" w:eastAsia="仿宋_GB2312" w:cs="仿宋_GB2312"/>
          <w:b w:val="0"/>
          <w:bCs w:val="0"/>
          <w:kern w:val="28"/>
          <w:sz w:val="32"/>
          <w:szCs w:val="32"/>
          <w:lang w:val="en-US" w:eastAsia="zh-CN" w:bidi="ar-SA"/>
        </w:rPr>
        <w:t>偏差率为15.62%，</w:t>
      </w:r>
      <w:r>
        <w:rPr>
          <w:rFonts w:hint="eastAsia" w:ascii="仿宋_GB2312" w:hAnsi="仿宋_GB2312" w:eastAsia="仿宋_GB2312" w:cs="仿宋_GB2312"/>
          <w:b w:val="0"/>
          <w:bCs w:val="0"/>
          <w:kern w:val="28"/>
          <w:sz w:val="32"/>
          <w:szCs w:val="32"/>
          <w:lang w:val="en-US" w:eastAsia="zh-Hans" w:bidi="ar-SA"/>
        </w:rPr>
        <w:t>偏差</w:t>
      </w:r>
      <w:r>
        <w:rPr>
          <w:rFonts w:hint="eastAsia" w:ascii="仿宋_GB2312" w:hAnsi="仿宋_GB2312" w:eastAsia="仿宋_GB2312" w:cs="仿宋_GB2312"/>
          <w:b w:val="0"/>
          <w:bCs w:val="0"/>
          <w:kern w:val="28"/>
          <w:sz w:val="32"/>
          <w:szCs w:val="32"/>
          <w:lang w:val="en-US" w:eastAsia="zh-CN" w:bidi="ar-SA"/>
        </w:rPr>
        <w:t>原因根据2023年支持项目数及支持资金制定2024年计划支持项目数及支持资金，实际2024年奖励三首产品数量高出预期两倍，且战新资金引导企业投入和产出较预期目标超出，造成偏差较大。</w:t>
      </w:r>
      <w:r>
        <w:rPr>
          <w:rFonts w:hint="eastAsia" w:ascii="仿宋_GB2312" w:hAnsi="仿宋_GB2312" w:eastAsia="仿宋_GB2312" w:cs="仿宋_GB2312"/>
          <w:b w:val="0"/>
          <w:bCs w:val="0"/>
          <w:kern w:val="28"/>
          <w:sz w:val="32"/>
          <w:szCs w:val="32"/>
          <w:lang w:val="en-US" w:eastAsia="zh-Hans" w:bidi="ar-SA"/>
        </w:rPr>
        <w:t>改进</w:t>
      </w:r>
      <w:r>
        <w:rPr>
          <w:rFonts w:hint="eastAsia" w:ascii="仿宋_GB2312" w:hAnsi="仿宋_GB2312" w:eastAsia="仿宋_GB2312" w:cs="仿宋_GB2312"/>
          <w:b w:val="0"/>
          <w:bCs w:val="0"/>
          <w:kern w:val="28"/>
          <w:sz w:val="32"/>
          <w:szCs w:val="32"/>
          <w:lang w:val="en-US" w:eastAsia="zh-CN" w:bidi="ar-SA"/>
        </w:rPr>
        <w:t>措施：2025年度制定预算时进一步完善指标，合理控制遴选支持项目数，合理预测企业投入和产出。</w:t>
      </w:r>
    </w:p>
    <w:p w14:paraId="1C6A0FED">
      <w:pPr>
        <w:pageBreakBefore w:val="0"/>
        <w:kinsoku/>
        <w:wordWrap/>
        <w:overflowPunct/>
        <w:topLinePunct w:val="0"/>
        <w:autoSpaceDE/>
        <w:autoSpaceDN/>
        <w:bidi w:val="0"/>
        <w:adjustRightInd/>
        <w:snapToGrid/>
        <w:spacing w:line="520" w:lineRule="exact"/>
        <w:ind w:left="0" w:leftChars="0" w:firstLine="640" w:firstLineChars="200"/>
        <w:textAlignment w:val="auto"/>
        <w:rPr>
          <w:rStyle w:val="53"/>
          <w:rFonts w:ascii="Times New Roman" w:hAnsi="Times New Roman" w:cs="Times New Roman"/>
          <w:color w:val="auto"/>
        </w:rPr>
      </w:pPr>
      <w:r>
        <w:rPr>
          <w:rFonts w:hint="eastAsia" w:eastAsia="黑体"/>
          <w:sz w:val="32"/>
          <w:szCs w:val="32"/>
          <w:lang w:eastAsia="zh-CN"/>
        </w:rPr>
        <w:t>六</w:t>
      </w:r>
      <w:r>
        <w:rPr>
          <w:rFonts w:eastAsia="黑体"/>
          <w:sz w:val="32"/>
          <w:szCs w:val="32"/>
        </w:rPr>
        <w:t>、主要经验及做法、存在的问题及原因分析</w:t>
      </w:r>
    </w:p>
    <w:p w14:paraId="40A0AB18">
      <w:pPr>
        <w:pageBreakBefore w:val="0"/>
        <w:kinsoku/>
        <w:wordWrap/>
        <w:overflowPunct/>
        <w:topLinePunct w:val="0"/>
        <w:autoSpaceDE/>
        <w:autoSpaceDN/>
        <w:bidi w:val="0"/>
        <w:adjustRightInd/>
        <w:snapToGrid/>
        <w:spacing w:line="520" w:lineRule="exact"/>
        <w:ind w:left="0" w:leftChars="0" w:firstLine="627" w:firstLineChars="200"/>
        <w:textAlignment w:val="auto"/>
        <w:rPr>
          <w:rFonts w:eastAsia="楷体"/>
          <w:b/>
          <w:spacing w:val="-4"/>
          <w:sz w:val="32"/>
          <w:szCs w:val="32"/>
        </w:rPr>
      </w:pPr>
      <w:r>
        <w:rPr>
          <w:rFonts w:eastAsia="楷体"/>
          <w:b/>
          <w:spacing w:val="-4"/>
          <w:sz w:val="32"/>
          <w:szCs w:val="32"/>
        </w:rPr>
        <w:t>（一）主要经验及做法</w:t>
      </w:r>
    </w:p>
    <w:p w14:paraId="5A19EDDD">
      <w:pPr>
        <w:pageBreakBefore w:val="0"/>
        <w:kinsoku/>
        <w:wordWrap/>
        <w:overflowPunct/>
        <w:topLinePunct w:val="0"/>
        <w:autoSpaceDE/>
        <w:autoSpaceDN/>
        <w:bidi w:val="0"/>
        <w:adjustRightInd/>
        <w:snapToGrid/>
        <w:spacing w:line="52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rPr>
        <w:t>在</w:t>
      </w:r>
      <w:r>
        <w:rPr>
          <w:rFonts w:hint="eastAsia" w:ascii="仿宋_GB2312" w:hAnsi="仿宋_GB2312" w:eastAsia="仿宋_GB2312" w:cs="仿宋_GB2312"/>
          <w:color w:val="auto"/>
          <w:sz w:val="32"/>
          <w:szCs w:val="32"/>
          <w:lang w:eastAsia="zh-CN"/>
        </w:rPr>
        <w:t>专项</w:t>
      </w:r>
      <w:r>
        <w:rPr>
          <w:rFonts w:hint="eastAsia" w:ascii="仿宋_GB2312" w:hAnsi="仿宋_GB2312" w:eastAsia="仿宋_GB2312" w:cs="仿宋_GB2312"/>
          <w:color w:val="auto"/>
          <w:sz w:val="32"/>
          <w:szCs w:val="32"/>
        </w:rPr>
        <w:t>资金项目的</w:t>
      </w:r>
      <w:r>
        <w:rPr>
          <w:rFonts w:hint="eastAsia" w:ascii="仿宋_GB2312" w:hAnsi="仿宋_GB2312" w:eastAsia="仿宋_GB2312" w:cs="仿宋_GB2312"/>
          <w:color w:val="auto"/>
          <w:sz w:val="32"/>
          <w:szCs w:val="32"/>
          <w:lang w:eastAsia="zh-CN"/>
        </w:rPr>
        <w:t>评审遴选阶段</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由于项目资金额度有限，自治区工信厅</w:t>
      </w:r>
      <w:r>
        <w:rPr>
          <w:rFonts w:hint="eastAsia" w:ascii="仿宋_GB2312" w:hAnsi="仿宋_GB2312" w:eastAsia="仿宋_GB2312" w:cs="仿宋_GB2312"/>
          <w:color w:val="auto"/>
          <w:sz w:val="32"/>
          <w:szCs w:val="32"/>
        </w:rPr>
        <w:t>坚持突出重点、择优扶强的原则，集中财力支持</w:t>
      </w:r>
      <w:r>
        <w:rPr>
          <w:rFonts w:hint="eastAsia" w:ascii="仿宋_GB2312" w:hAnsi="仿宋_GB2312" w:eastAsia="仿宋_GB2312" w:cs="仿宋_GB2312"/>
          <w:color w:val="auto"/>
          <w:sz w:val="32"/>
          <w:szCs w:val="32"/>
          <w:lang w:eastAsia="zh-CN"/>
        </w:rPr>
        <w:t>对产业发展具有重大带动作用的</w:t>
      </w:r>
      <w:r>
        <w:rPr>
          <w:rFonts w:hint="eastAsia" w:ascii="仿宋_GB2312" w:hAnsi="仿宋_GB2312" w:eastAsia="仿宋_GB2312" w:cs="仿宋_GB2312"/>
          <w:color w:val="auto"/>
          <w:sz w:val="32"/>
          <w:szCs w:val="32"/>
        </w:rPr>
        <w:t>重点领域、重点企业和重点项目，</w:t>
      </w:r>
      <w:r>
        <w:rPr>
          <w:rFonts w:hint="eastAsia" w:ascii="仿宋_GB2312" w:hAnsi="仿宋_GB2312" w:eastAsia="仿宋_GB2312" w:cs="仿宋_GB2312"/>
          <w:color w:val="auto"/>
          <w:sz w:val="32"/>
          <w:szCs w:val="32"/>
          <w:lang w:eastAsia="zh-CN"/>
        </w:rPr>
        <w:t>充分</w:t>
      </w:r>
      <w:r>
        <w:rPr>
          <w:rFonts w:hint="eastAsia" w:ascii="仿宋_GB2312" w:hAnsi="仿宋_GB2312" w:eastAsia="仿宋_GB2312" w:cs="仿宋_GB2312"/>
          <w:color w:val="auto"/>
          <w:sz w:val="32"/>
          <w:szCs w:val="32"/>
        </w:rPr>
        <w:t>发挥专项资金的引导和支撑作用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推动经济高质量发展</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同时，</w:t>
      </w:r>
      <w:r>
        <w:rPr>
          <w:rFonts w:hint="eastAsia" w:ascii="仿宋_GB2312" w:hAnsi="仿宋_GB2312" w:eastAsia="仿宋_GB2312" w:cs="仿宋_GB2312"/>
          <w:color w:val="auto"/>
          <w:sz w:val="32"/>
          <w:szCs w:val="32"/>
        </w:rPr>
        <w:t>在专项资金项目</w:t>
      </w:r>
      <w:r>
        <w:rPr>
          <w:rFonts w:hint="eastAsia" w:ascii="仿宋_GB2312" w:hAnsi="仿宋_GB2312" w:eastAsia="仿宋_GB2312" w:cs="仿宋_GB2312"/>
          <w:color w:val="auto"/>
          <w:sz w:val="32"/>
          <w:szCs w:val="32"/>
          <w:lang w:eastAsia="zh-CN"/>
        </w:rPr>
        <w:t>的管理</w:t>
      </w:r>
      <w:r>
        <w:rPr>
          <w:rFonts w:hint="eastAsia" w:ascii="仿宋_GB2312" w:hAnsi="仿宋_GB2312" w:eastAsia="仿宋_GB2312" w:cs="仿宋_GB2312"/>
          <w:color w:val="auto"/>
          <w:sz w:val="32"/>
          <w:szCs w:val="32"/>
        </w:rPr>
        <w:t>中，严格按照《自治区战略性新兴产业专项资金管理办法》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新财</w:t>
      </w:r>
      <w:r>
        <w:rPr>
          <w:rFonts w:hint="eastAsia" w:ascii="仿宋_GB2312" w:hAnsi="仿宋_GB2312" w:eastAsia="仿宋_GB2312" w:cs="仿宋_GB2312"/>
          <w:color w:val="auto"/>
          <w:sz w:val="32"/>
          <w:szCs w:val="32"/>
          <w:lang w:eastAsia="zh-CN"/>
        </w:rPr>
        <w:t>规</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2021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rPr>
        <w:t>进行</w:t>
      </w:r>
      <w:r>
        <w:rPr>
          <w:rFonts w:hint="eastAsia" w:ascii="仿宋_GB2312" w:hAnsi="仿宋_GB2312" w:eastAsia="仿宋_GB2312" w:cs="仿宋_GB2312"/>
          <w:color w:val="auto"/>
          <w:sz w:val="32"/>
          <w:szCs w:val="32"/>
          <w:lang w:eastAsia="zh-CN"/>
        </w:rPr>
        <w:t>全过程</w:t>
      </w:r>
      <w:r>
        <w:rPr>
          <w:rFonts w:hint="eastAsia" w:ascii="仿宋_GB2312" w:hAnsi="仿宋_GB2312" w:eastAsia="仿宋_GB2312" w:cs="仿宋_GB2312"/>
          <w:color w:val="auto"/>
          <w:sz w:val="32"/>
          <w:szCs w:val="32"/>
        </w:rPr>
        <w:t>监管</w:t>
      </w:r>
      <w:r>
        <w:rPr>
          <w:rFonts w:hint="eastAsia" w:ascii="仿宋_GB2312" w:hAnsi="仿宋_GB2312" w:eastAsia="仿宋_GB2312" w:cs="仿宋_GB2312"/>
          <w:color w:val="auto"/>
          <w:sz w:val="32"/>
          <w:szCs w:val="32"/>
          <w:lang w:eastAsia="zh-CN"/>
        </w:rPr>
        <w:t>，确保项目资金发挥实效</w:t>
      </w:r>
      <w:r>
        <w:rPr>
          <w:rFonts w:hint="eastAsia" w:ascii="仿宋_GB2312" w:hAnsi="仿宋_GB2312" w:eastAsia="仿宋_GB2312" w:cs="仿宋_GB2312"/>
          <w:color w:val="auto"/>
          <w:sz w:val="32"/>
          <w:szCs w:val="32"/>
        </w:rPr>
        <w:t>。</w:t>
      </w:r>
    </w:p>
    <w:p w14:paraId="6F79DD1C">
      <w:pPr>
        <w:pageBreakBefore w:val="0"/>
        <w:kinsoku/>
        <w:wordWrap/>
        <w:overflowPunct/>
        <w:topLinePunct w:val="0"/>
        <w:autoSpaceDE/>
        <w:autoSpaceDN/>
        <w:bidi w:val="0"/>
        <w:adjustRightInd/>
        <w:snapToGrid/>
        <w:spacing w:line="52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rPr>
        <w:t>在</w:t>
      </w:r>
      <w:r>
        <w:rPr>
          <w:rFonts w:hint="eastAsia" w:ascii="仿宋_GB2312" w:hAnsi="仿宋_GB2312" w:eastAsia="仿宋_GB2312" w:cs="仿宋_GB2312"/>
          <w:color w:val="auto"/>
          <w:sz w:val="32"/>
          <w:szCs w:val="32"/>
          <w:lang w:eastAsia="zh-CN"/>
        </w:rPr>
        <w:t>项目实施</w:t>
      </w:r>
      <w:r>
        <w:rPr>
          <w:rFonts w:hint="eastAsia" w:ascii="仿宋_GB2312" w:hAnsi="仿宋_GB2312" w:eastAsia="仿宋_GB2312" w:cs="仿宋_GB2312"/>
          <w:color w:val="auto"/>
          <w:sz w:val="32"/>
          <w:szCs w:val="32"/>
        </w:rPr>
        <w:t>过程中，</w:t>
      </w:r>
      <w:r>
        <w:rPr>
          <w:rFonts w:hint="eastAsia" w:ascii="仿宋_GB2312" w:hAnsi="仿宋_GB2312" w:eastAsia="仿宋_GB2312" w:cs="仿宋_GB2312"/>
          <w:b w:val="0"/>
          <w:bCs w:val="0"/>
          <w:color w:val="auto"/>
          <w:sz w:val="32"/>
          <w:szCs w:val="32"/>
          <w:lang w:val="en-US" w:eastAsia="zh-CN"/>
        </w:rPr>
        <w:t>自治区工信厅注重督促</w:t>
      </w:r>
      <w:r>
        <w:rPr>
          <w:rFonts w:hint="eastAsia" w:ascii="仿宋_GB2312" w:hAnsi="仿宋_GB2312" w:eastAsia="仿宋_GB2312" w:cs="仿宋_GB2312"/>
          <w:color w:val="auto"/>
          <w:sz w:val="32"/>
          <w:szCs w:val="32"/>
        </w:rPr>
        <w:t>项目承担单位抓实基础管理工作</w:t>
      </w:r>
      <w:r>
        <w:rPr>
          <w:rFonts w:hint="eastAsia" w:ascii="仿宋_GB2312" w:hAnsi="仿宋_GB2312" w:eastAsia="仿宋_GB2312" w:cs="仿宋_GB2312"/>
          <w:color w:val="auto"/>
          <w:sz w:val="32"/>
          <w:szCs w:val="32"/>
          <w:lang w:eastAsia="zh-CN"/>
        </w:rPr>
        <w:t>，指导企业</w:t>
      </w:r>
      <w:r>
        <w:rPr>
          <w:rFonts w:hint="eastAsia" w:ascii="仿宋_GB2312" w:hAnsi="仿宋_GB2312" w:eastAsia="仿宋_GB2312" w:cs="仿宋_GB2312"/>
          <w:color w:val="auto"/>
          <w:sz w:val="32"/>
          <w:szCs w:val="32"/>
        </w:rPr>
        <w:t>制定相对规范的</w:t>
      </w:r>
      <w:r>
        <w:rPr>
          <w:rFonts w:hint="eastAsia" w:ascii="仿宋_GB2312" w:hAnsi="仿宋_GB2312" w:eastAsia="仿宋_GB2312" w:cs="仿宋_GB2312"/>
          <w:color w:val="auto"/>
          <w:sz w:val="32"/>
          <w:szCs w:val="32"/>
          <w:lang w:eastAsia="zh-CN"/>
        </w:rPr>
        <w:t>项目</w:t>
      </w:r>
      <w:r>
        <w:rPr>
          <w:rFonts w:hint="eastAsia" w:ascii="仿宋_GB2312" w:hAnsi="仿宋_GB2312" w:eastAsia="仿宋_GB2312" w:cs="仿宋_GB2312"/>
          <w:color w:val="auto"/>
          <w:sz w:val="32"/>
          <w:szCs w:val="32"/>
        </w:rPr>
        <w:t>管理制度，确保专项资金在项目建设中专款专用、专项支出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同时，项目承担单位通过建立组织协调机制、明确项目推进机制、实施任务考核机制，加强项目实施的组织管理，推动项目按照时间节点完成，为项目顺利实施提供有力保障。</w:t>
      </w:r>
    </w:p>
    <w:p w14:paraId="434B584A">
      <w:pPr>
        <w:keepNext/>
        <w:keepLines/>
        <w:pageBreakBefore w:val="0"/>
        <w:numPr>
          <w:ilvl w:val="0"/>
          <w:numId w:val="7"/>
        </w:numPr>
        <w:kinsoku/>
        <w:wordWrap/>
        <w:overflowPunct/>
        <w:topLinePunct w:val="0"/>
        <w:autoSpaceDE/>
        <w:autoSpaceDN/>
        <w:bidi w:val="0"/>
        <w:adjustRightInd/>
        <w:snapToGrid/>
        <w:spacing w:line="520" w:lineRule="exact"/>
        <w:ind w:left="0" w:leftChars="0" w:firstLine="643" w:firstLineChars="200"/>
        <w:textAlignment w:val="auto"/>
        <w:rPr>
          <w:rFonts w:eastAsia="楷体_GB2312"/>
          <w:b/>
          <w:bCs/>
          <w:sz w:val="32"/>
          <w:szCs w:val="32"/>
        </w:rPr>
      </w:pPr>
      <w:r>
        <w:rPr>
          <w:rFonts w:eastAsia="楷体_GB2312"/>
          <w:b/>
          <w:bCs/>
          <w:sz w:val="32"/>
          <w:szCs w:val="32"/>
        </w:rPr>
        <w:t>存在的问题及原因分析</w:t>
      </w:r>
    </w:p>
    <w:p w14:paraId="154108D6">
      <w:pPr>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财政金融支持有限，企业融资需求无法满足。我区设立战略性新兴产业专项资金以来，对产业发展起到了积极的推动作用，但仍无法满足企业对政策性资金支持的需求。2018年自治区暂停了战略性新兴产业专项资金支持，2019年重新恢复后，资金额度大幅降低，对产业的带动和扶持作用减弱。同时，金融产品限制性条款较多，我区多数企业处于培育成长阶段，资金实力和盈利能力较弱，获得金融支持难度较大。</w:t>
      </w:r>
    </w:p>
    <w:p w14:paraId="0F800DC1">
      <w:pPr>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项目绩效管理相关制度缺乏有效指导。各地州市对于绩效评价的有关管理制度认识和理解不到位，且缺乏专业人员的有效指导，在开展绩效管理过程中指导和管理企业的工作能力仍需提高，急需进一步加强对各地州市的指导和培训。</w:t>
      </w:r>
    </w:p>
    <w:p w14:paraId="4CE807B6">
      <w:pPr>
        <w:pageBreakBefore w:val="0"/>
        <w:numPr>
          <w:ilvl w:val="-1"/>
          <w:numId w:val="0"/>
        </w:numPr>
        <w:kinsoku/>
        <w:wordWrap/>
        <w:overflowPunct/>
        <w:topLinePunct w:val="0"/>
        <w:autoSpaceDE/>
        <w:autoSpaceDN/>
        <w:bidi w:val="0"/>
        <w:adjustRightInd/>
        <w:snapToGrid/>
        <w:spacing w:line="520" w:lineRule="exact"/>
        <w:ind w:left="420" w:leftChars="200" w:firstLine="320" w:firstLineChars="100"/>
        <w:textAlignment w:val="auto"/>
        <w:rPr>
          <w:rFonts w:eastAsia="黑体"/>
          <w:sz w:val="32"/>
          <w:szCs w:val="32"/>
        </w:rPr>
      </w:pPr>
      <w:r>
        <w:rPr>
          <w:rFonts w:hint="eastAsia" w:eastAsia="黑体"/>
          <w:sz w:val="32"/>
          <w:szCs w:val="32"/>
          <w:lang w:eastAsia="zh-CN"/>
        </w:rPr>
        <w:t>七、</w:t>
      </w:r>
      <w:r>
        <w:rPr>
          <w:rFonts w:eastAsia="黑体"/>
          <w:sz w:val="32"/>
          <w:szCs w:val="32"/>
        </w:rPr>
        <w:t>有关建议</w:t>
      </w:r>
    </w:p>
    <w:p w14:paraId="55237601">
      <w:pPr>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加大财政金融支持力度。提高自治区战略性新兴产业专项资金额度，充分发挥财政资金的引导支持作用，吸引和撬动更多资本参与支持战略性新兴产业发展。同时，鼓励引导社会资本设立市场化运作的战略性新兴产业发展基金，支持符合条件的企业进入多层次资本市场进行融资，鼓励银行业金融机构创新产品和服务，加大对战略性新兴产业的支持力度。</w:t>
      </w:r>
    </w:p>
    <w:p w14:paraId="4108D6A9">
      <w:pPr>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加强</w:t>
      </w:r>
      <w:r>
        <w:rPr>
          <w:rFonts w:hint="eastAsia" w:ascii="仿宋_GB2312" w:hAnsi="仿宋_GB2312" w:eastAsia="仿宋_GB2312" w:cs="仿宋_GB2312"/>
          <w:color w:val="auto"/>
          <w:sz w:val="32"/>
          <w:szCs w:val="32"/>
          <w:lang w:eastAsia="zh-CN"/>
        </w:rPr>
        <w:t>对各地州市财政部门、工信部门的指导和培训力度，充实相关管理人员的业务知识，提高业务能力</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同时，</w:t>
      </w:r>
      <w:r>
        <w:rPr>
          <w:rFonts w:hint="eastAsia" w:ascii="仿宋_GB2312" w:hAnsi="仿宋_GB2312" w:eastAsia="仿宋_GB2312" w:cs="仿宋_GB2312"/>
          <w:color w:val="auto"/>
          <w:sz w:val="32"/>
          <w:szCs w:val="32"/>
        </w:rPr>
        <w:t>加强部门间的沟通协作，优化资金下拨路径，疏通资金下拨通道，尽量减少多级资金管理部门的影响。</w:t>
      </w:r>
    </w:p>
    <w:p w14:paraId="5DDA5DD3">
      <w:pPr>
        <w:pageBreakBefore w:val="0"/>
        <w:numPr>
          <w:ilvl w:val="-1"/>
          <w:numId w:val="0"/>
        </w:numPr>
        <w:kinsoku/>
        <w:wordWrap/>
        <w:overflowPunct/>
        <w:topLinePunct w:val="0"/>
        <w:autoSpaceDE/>
        <w:autoSpaceDN/>
        <w:bidi w:val="0"/>
        <w:adjustRightInd/>
        <w:snapToGrid/>
        <w:spacing w:line="520" w:lineRule="exact"/>
        <w:ind w:left="420" w:leftChars="200" w:firstLine="0" w:firstLineChars="0"/>
        <w:textAlignment w:val="auto"/>
        <w:rPr>
          <w:rFonts w:eastAsia="黑体"/>
          <w:sz w:val="32"/>
          <w:szCs w:val="32"/>
        </w:rPr>
      </w:pPr>
      <w:r>
        <w:rPr>
          <w:rFonts w:hint="eastAsia" w:eastAsia="黑体"/>
          <w:sz w:val="32"/>
          <w:szCs w:val="32"/>
          <w:lang w:eastAsia="zh-CN"/>
        </w:rPr>
        <w:t>八、</w:t>
      </w:r>
      <w:r>
        <w:rPr>
          <w:rFonts w:eastAsia="黑体"/>
          <w:sz w:val="32"/>
          <w:szCs w:val="32"/>
        </w:rPr>
        <w:t>其他需要说</w:t>
      </w:r>
      <w:bookmarkStart w:id="1" w:name="page8"/>
      <w:bookmarkEnd w:id="1"/>
      <w:r>
        <w:rPr>
          <w:rFonts w:eastAsia="黑体"/>
          <w:sz w:val="32"/>
          <w:szCs w:val="32"/>
        </w:rPr>
        <w:t>明的问题</w:t>
      </w:r>
    </w:p>
    <w:p w14:paraId="111B3487">
      <w:pPr>
        <w:pStyle w:val="20"/>
        <w:pageBreakBefore w:val="0"/>
        <w:kinsoku/>
        <w:wordWrap/>
        <w:overflowPunct/>
        <w:topLinePunct w:val="0"/>
        <w:autoSpaceDE/>
        <w:autoSpaceDN/>
        <w:bidi w:val="0"/>
        <w:adjustRightInd/>
        <w:snapToGrid/>
        <w:spacing w:after="0" w:line="520" w:lineRule="exact"/>
        <w:ind w:left="0" w:leftChars="0" w:firstLine="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5601A636">
      <w:pPr>
        <w:pStyle w:val="20"/>
        <w:pageBreakBefore w:val="0"/>
        <w:kinsoku/>
        <w:wordWrap/>
        <w:overflowPunct/>
        <w:topLinePunct w:val="0"/>
        <w:autoSpaceDE/>
        <w:autoSpaceDN/>
        <w:bidi w:val="0"/>
        <w:adjustRightInd/>
        <w:snapToGrid/>
        <w:spacing w:after="0" w:line="560" w:lineRule="exact"/>
        <w:ind w:left="0" w:leftChars="0" w:firstLine="321" w:firstLineChars="100"/>
        <w:textAlignment w:val="auto"/>
        <w:rPr>
          <w:rFonts w:ascii="Times New Roman" w:hAnsi="Times New Roman" w:eastAsia="方正小标宋简体"/>
          <w:b/>
          <w:kern w:val="0"/>
          <w:sz w:val="32"/>
          <w:szCs w:val="32"/>
          <w:lang w:bidi="ar"/>
        </w:rPr>
        <w:sectPr>
          <w:footerReference r:id="rId5" w:type="default"/>
          <w:pgSz w:w="11906" w:h="16838"/>
          <w:pgMar w:top="1440" w:right="1558" w:bottom="1440" w:left="1800" w:header="851" w:footer="992" w:gutter="0"/>
          <w:cols w:space="425" w:num="1"/>
          <w:docGrid w:type="lines" w:linePitch="312" w:charSpace="0"/>
        </w:sectPr>
      </w:pPr>
    </w:p>
    <w:p w14:paraId="4A46EF5D">
      <w:pPr>
        <w:spacing w:line="600" w:lineRule="exact"/>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附件1</w:t>
      </w:r>
    </w:p>
    <w:p w14:paraId="314F6379">
      <w:pPr>
        <w:pStyle w:val="2"/>
      </w:pPr>
      <w:bookmarkStart w:id="2" w:name="_Toc26499_WPSOffice_Level2"/>
      <w:bookmarkStart w:id="3" w:name="_Toc30064_WPSOffice_Level1"/>
      <w:r>
        <w:rPr>
          <w:rFonts w:hint="eastAsia" w:ascii="仿宋_GB2312" w:hAnsi="仿宋_GB2312" w:eastAsia="仿宋_GB2312" w:cs="仿宋_GB2312"/>
          <w:b/>
          <w:bCs/>
          <w:sz w:val="28"/>
          <w:szCs w:val="40"/>
          <w:highlight w:val="none"/>
          <w:lang w:val="en-US" w:eastAsia="zh-CN"/>
        </w:rPr>
        <w:t>自治区战略性新兴产业专项资金</w:t>
      </w:r>
      <w:r>
        <w:rPr>
          <w:rFonts w:hint="eastAsia" w:ascii="仿宋_GB2312" w:hAnsi="仿宋_GB2312" w:eastAsia="仿宋_GB2312" w:cs="仿宋_GB2312"/>
          <w:b/>
          <w:bCs/>
          <w:sz w:val="28"/>
          <w:szCs w:val="40"/>
          <w:highlight w:val="none"/>
        </w:rPr>
        <w:t>项目绩效评价指标体系及综合评分表</w:t>
      </w:r>
      <w:bookmarkEnd w:id="2"/>
      <w:bookmarkEnd w:id="3"/>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3E4FC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662BC57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4" w:type="pct"/>
            <w:shd w:val="clear" w:color="auto" w:fill="FFFFFF"/>
            <w:vAlign w:val="center"/>
          </w:tcPr>
          <w:p w14:paraId="248016D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14:paraId="502C0F8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14:paraId="6923B54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5" w:type="pct"/>
            <w:shd w:val="clear" w:color="auto" w:fill="FFFFFF"/>
            <w:vAlign w:val="center"/>
          </w:tcPr>
          <w:p w14:paraId="13B793C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14:paraId="72A6ECD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14:paraId="3AA217A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502366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1E5E40C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6D02DAC">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DB6EC2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6ED3A4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7B63E1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812B4A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2B74CE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14:paraId="7149215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14:paraId="002BFF5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57CDA81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14:paraId="17BC39A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14:paraId="5E2D399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14:paraId="2399FB8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33E4F04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D739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7E5FF41">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3A6E4B0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74B15B1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3339BEC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14:paraId="61A8D81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14:paraId="2D75F8B1">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14:paraId="69E2682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1CEEBD8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C383F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52504475">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14:paraId="6C9848D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14:paraId="4DE82C4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2A95847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14:paraId="55A4E96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14:paraId="4738560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17DD4E9E">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14:paraId="1B8C3F0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1A74637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2</w:t>
            </w:r>
          </w:p>
        </w:tc>
      </w:tr>
      <w:tr w14:paraId="163D53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7F7FBFF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6370C9F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217EF15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174AFF8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14:paraId="143252D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14:paraId="359931C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14:paraId="109904B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489C780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2</w:t>
            </w:r>
          </w:p>
        </w:tc>
      </w:tr>
      <w:tr w14:paraId="02AD4D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790771C9">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14:paraId="7DF88B1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79AC3B2A">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14:paraId="41D63B4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0D83345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14:paraId="2FE87D7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0CD1DB5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14:paraId="2DC5D95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1B464C7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15FC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0FC2576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07E462D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7897AB2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07B8526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14:paraId="39479C9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5F87651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14:paraId="1A1538C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5F61F3F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EFB0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5B1F9044">
            <w:pPr>
              <w:spacing w:line="0" w:lineRule="atLeast"/>
              <w:jc w:val="center"/>
              <w:rPr>
                <w:rFonts w:hint="default" w:ascii="Times New Roman" w:hAnsi="Times New Roman" w:eastAsia="仿宋_GB2312" w:cs="Times New Roman"/>
                <w:color w:val="000000"/>
                <w:kern w:val="0"/>
                <w:sz w:val="18"/>
                <w:szCs w:val="18"/>
                <w:highlight w:val="none"/>
              </w:rPr>
            </w:pPr>
          </w:p>
          <w:p w14:paraId="32CFEF7B">
            <w:pPr>
              <w:spacing w:line="0" w:lineRule="atLeast"/>
              <w:jc w:val="center"/>
              <w:rPr>
                <w:rFonts w:hint="default" w:ascii="Times New Roman" w:hAnsi="Times New Roman" w:eastAsia="仿宋_GB2312" w:cs="Times New Roman"/>
                <w:color w:val="000000"/>
                <w:kern w:val="0"/>
                <w:sz w:val="18"/>
                <w:szCs w:val="18"/>
                <w:highlight w:val="none"/>
              </w:rPr>
            </w:pPr>
          </w:p>
          <w:p w14:paraId="5A723098">
            <w:pPr>
              <w:spacing w:line="0" w:lineRule="atLeast"/>
              <w:jc w:val="center"/>
              <w:rPr>
                <w:rFonts w:hint="default" w:ascii="Times New Roman" w:hAnsi="Times New Roman" w:eastAsia="仿宋_GB2312" w:cs="Times New Roman"/>
                <w:color w:val="000000"/>
                <w:kern w:val="0"/>
                <w:sz w:val="18"/>
                <w:szCs w:val="18"/>
                <w:highlight w:val="none"/>
              </w:rPr>
            </w:pPr>
          </w:p>
          <w:p w14:paraId="641391B3">
            <w:pPr>
              <w:spacing w:line="0" w:lineRule="atLeast"/>
              <w:jc w:val="center"/>
              <w:rPr>
                <w:rFonts w:hint="default" w:ascii="Times New Roman" w:hAnsi="Times New Roman" w:eastAsia="仿宋_GB2312" w:cs="Times New Roman"/>
                <w:color w:val="000000"/>
                <w:kern w:val="0"/>
                <w:sz w:val="18"/>
                <w:szCs w:val="18"/>
                <w:highlight w:val="none"/>
              </w:rPr>
            </w:pPr>
          </w:p>
          <w:p w14:paraId="51444CBB">
            <w:pPr>
              <w:spacing w:line="0" w:lineRule="atLeast"/>
              <w:jc w:val="center"/>
              <w:rPr>
                <w:rFonts w:hint="default" w:ascii="Times New Roman" w:hAnsi="Times New Roman" w:eastAsia="仿宋_GB2312" w:cs="Times New Roman"/>
                <w:color w:val="000000"/>
                <w:kern w:val="0"/>
                <w:sz w:val="18"/>
                <w:szCs w:val="18"/>
                <w:highlight w:val="none"/>
              </w:rPr>
            </w:pPr>
          </w:p>
          <w:p w14:paraId="7D2E7E21">
            <w:pPr>
              <w:spacing w:line="0" w:lineRule="atLeast"/>
              <w:jc w:val="center"/>
              <w:rPr>
                <w:rFonts w:hint="default" w:ascii="Times New Roman" w:hAnsi="Times New Roman" w:eastAsia="仿宋_GB2312" w:cs="Times New Roman"/>
                <w:color w:val="000000"/>
                <w:kern w:val="0"/>
                <w:sz w:val="18"/>
                <w:szCs w:val="18"/>
                <w:highlight w:val="none"/>
              </w:rPr>
            </w:pPr>
          </w:p>
          <w:p w14:paraId="358CD671">
            <w:pPr>
              <w:spacing w:line="0" w:lineRule="atLeast"/>
              <w:jc w:val="center"/>
              <w:rPr>
                <w:rFonts w:hint="default" w:ascii="Times New Roman" w:hAnsi="Times New Roman" w:eastAsia="仿宋_GB2312" w:cs="Times New Roman"/>
                <w:color w:val="000000"/>
                <w:kern w:val="0"/>
                <w:sz w:val="18"/>
                <w:szCs w:val="18"/>
                <w:highlight w:val="none"/>
              </w:rPr>
            </w:pPr>
          </w:p>
          <w:p w14:paraId="553BAC12">
            <w:pPr>
              <w:spacing w:line="0" w:lineRule="atLeast"/>
              <w:jc w:val="center"/>
              <w:rPr>
                <w:rFonts w:hint="default" w:ascii="Times New Roman" w:hAnsi="Times New Roman" w:eastAsia="仿宋_GB2312" w:cs="Times New Roman"/>
                <w:color w:val="000000"/>
                <w:kern w:val="0"/>
                <w:sz w:val="18"/>
                <w:szCs w:val="18"/>
                <w:highlight w:val="none"/>
              </w:rPr>
            </w:pPr>
          </w:p>
          <w:p w14:paraId="365F08C0">
            <w:pPr>
              <w:spacing w:line="0" w:lineRule="atLeast"/>
              <w:jc w:val="center"/>
              <w:rPr>
                <w:rFonts w:hint="default" w:ascii="Times New Roman" w:hAnsi="Times New Roman" w:eastAsia="仿宋_GB2312" w:cs="Times New Roman"/>
                <w:color w:val="000000"/>
                <w:kern w:val="0"/>
                <w:sz w:val="18"/>
                <w:szCs w:val="18"/>
                <w:highlight w:val="none"/>
              </w:rPr>
            </w:pPr>
          </w:p>
          <w:p w14:paraId="48523EED">
            <w:pPr>
              <w:spacing w:line="0" w:lineRule="atLeast"/>
              <w:jc w:val="center"/>
              <w:rPr>
                <w:rFonts w:hint="default" w:ascii="Times New Roman" w:hAnsi="Times New Roman" w:eastAsia="仿宋_GB2312" w:cs="Times New Roman"/>
                <w:color w:val="000000"/>
                <w:kern w:val="0"/>
                <w:sz w:val="18"/>
                <w:szCs w:val="18"/>
                <w:highlight w:val="none"/>
              </w:rPr>
            </w:pPr>
          </w:p>
          <w:p w14:paraId="7371D0E9">
            <w:pPr>
              <w:spacing w:line="0" w:lineRule="atLeast"/>
              <w:jc w:val="center"/>
              <w:rPr>
                <w:rFonts w:hint="default" w:ascii="Times New Roman" w:hAnsi="Times New Roman" w:eastAsia="仿宋_GB2312" w:cs="Times New Roman"/>
                <w:color w:val="000000"/>
                <w:kern w:val="0"/>
                <w:sz w:val="18"/>
                <w:szCs w:val="18"/>
                <w:highlight w:val="none"/>
              </w:rPr>
            </w:pPr>
          </w:p>
          <w:p w14:paraId="39DA36D5">
            <w:pPr>
              <w:spacing w:line="0" w:lineRule="atLeast"/>
              <w:jc w:val="center"/>
              <w:rPr>
                <w:rFonts w:hint="default" w:ascii="Times New Roman" w:hAnsi="Times New Roman" w:eastAsia="仿宋_GB2312" w:cs="Times New Roman"/>
                <w:color w:val="000000"/>
                <w:kern w:val="0"/>
                <w:sz w:val="18"/>
                <w:szCs w:val="18"/>
                <w:highlight w:val="none"/>
              </w:rPr>
            </w:pPr>
          </w:p>
          <w:p w14:paraId="1A948F4E">
            <w:pPr>
              <w:spacing w:line="0" w:lineRule="atLeast"/>
              <w:jc w:val="center"/>
              <w:rPr>
                <w:rFonts w:hint="default" w:ascii="Times New Roman" w:hAnsi="Times New Roman" w:eastAsia="仿宋_GB2312" w:cs="Times New Roman"/>
                <w:color w:val="000000"/>
                <w:kern w:val="0"/>
                <w:sz w:val="18"/>
                <w:szCs w:val="18"/>
                <w:highlight w:val="none"/>
              </w:rPr>
            </w:pPr>
          </w:p>
          <w:p w14:paraId="3606270B">
            <w:pPr>
              <w:spacing w:line="0" w:lineRule="atLeast"/>
              <w:jc w:val="center"/>
              <w:rPr>
                <w:rFonts w:hint="default" w:ascii="Times New Roman" w:hAnsi="Times New Roman" w:eastAsia="仿宋_GB2312" w:cs="Times New Roman"/>
                <w:color w:val="000000"/>
                <w:kern w:val="0"/>
                <w:sz w:val="18"/>
                <w:szCs w:val="18"/>
                <w:highlight w:val="none"/>
              </w:rPr>
            </w:pPr>
          </w:p>
          <w:p w14:paraId="27308A32">
            <w:pPr>
              <w:spacing w:line="0" w:lineRule="atLeast"/>
              <w:jc w:val="center"/>
              <w:rPr>
                <w:rFonts w:hint="default" w:ascii="Times New Roman" w:hAnsi="Times New Roman" w:eastAsia="仿宋_GB2312" w:cs="Times New Roman"/>
                <w:color w:val="000000"/>
                <w:kern w:val="0"/>
                <w:sz w:val="18"/>
                <w:szCs w:val="18"/>
                <w:highlight w:val="none"/>
              </w:rPr>
            </w:pPr>
          </w:p>
          <w:p w14:paraId="397E1B17">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18D3F89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14:paraId="770D716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0BCFAD5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14:paraId="38B0A15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14:paraId="6B0A76E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2B561A2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6A35CE1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14:paraId="117EC21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28EAED9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C04CD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4584B08B">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718E25E6">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3623A9A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14:paraId="281D6E5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14:paraId="14D3A9E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14:paraId="490C8C5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75D3F29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4A07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39EC5CB0">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7FDD18D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63D3398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603AD44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14:paraId="718EE67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14:paraId="7D91C7F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14:paraId="08BA1F7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3A1A354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C9DF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2F3654DB">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14:paraId="69FE577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38862A86">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14:paraId="0C7C1FD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4723AE6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14:paraId="7FFCEEC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14:paraId="3E2DDDA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14:paraId="3B94434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1C8DE88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8C4D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52304D0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2639CC3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3139C78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5458854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14:paraId="0840C50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14:paraId="1396319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14:paraId="06F500A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3D1DCDA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4C601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5433AE5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14:paraId="0684BA8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14:paraId="4159DF3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14:paraId="47ADD19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14:paraId="40FD5F6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0E68724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4167C09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889E6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207028E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0114D0F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14:paraId="0F51A15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14:paraId="6BB585F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14:paraId="448D8C9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3CC4BE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276FD2C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0E06A7D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7.8</w:t>
            </w:r>
          </w:p>
        </w:tc>
      </w:tr>
      <w:tr w14:paraId="1B957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51C48C84">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164ACF3F">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14:paraId="098C9BA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14:paraId="5DBF55F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14:paraId="5F84C5F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14:paraId="2E715A5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1D5C9E7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7559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466C708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19482DD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14:paraId="6C754CE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14:paraId="23B468E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14:paraId="7D1225F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030EB69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00CA11A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6B53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25DCB6D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14:paraId="61CAFA3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14:paraId="201C892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14:paraId="2E5CBDF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14:paraId="1C3BCDF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5669748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14:paraId="7B67CA1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693B0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5FBD11C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5C57AEC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0FA3B98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14:paraId="53A9943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14:paraId="2BA8C19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1BF9D16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21B450B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758AB7CE">
      <w:pPr>
        <w:pStyle w:val="2"/>
        <w:rPr>
          <w:rFonts w:ascii="Times New Roman" w:hAnsi="Times New Roman"/>
        </w:rPr>
      </w:pPr>
    </w:p>
    <w:p w14:paraId="293D5DCD"/>
    <w:p w14:paraId="6AC8FFE2">
      <w:pPr>
        <w:spacing w:line="540" w:lineRule="exact"/>
        <w:ind w:firstLine="640"/>
        <w:rPr>
          <w:rStyle w:val="23"/>
          <w:rFonts w:eastAsia="黑体"/>
          <w:bCs w:val="0"/>
          <w:spacing w:val="-4"/>
          <w:sz w:val="32"/>
          <w:szCs w:val="32"/>
        </w:rPr>
      </w:pPr>
    </w:p>
    <w:p w14:paraId="759C47F6">
      <w:pPr>
        <w:spacing w:line="540" w:lineRule="exact"/>
        <w:ind w:firstLine="640"/>
        <w:rPr>
          <w:rStyle w:val="23"/>
          <w:rFonts w:eastAsia="黑体"/>
          <w:bCs w:val="0"/>
          <w:spacing w:val="-4"/>
          <w:sz w:val="32"/>
          <w:szCs w:val="32"/>
        </w:rPr>
      </w:pPr>
    </w:p>
    <w:p w14:paraId="1DBBE692">
      <w:pPr>
        <w:pStyle w:val="2"/>
        <w:rPr>
          <w:rStyle w:val="23"/>
          <w:rFonts w:eastAsia="黑体"/>
          <w:b/>
          <w:bCs w:val="0"/>
          <w:spacing w:val="-4"/>
          <w:sz w:val="32"/>
          <w:szCs w:val="32"/>
        </w:rPr>
      </w:pPr>
    </w:p>
    <w:p w14:paraId="69EB3FA6">
      <w:pPr>
        <w:rPr>
          <w:rStyle w:val="23"/>
          <w:rFonts w:eastAsia="黑体"/>
          <w:bCs w:val="0"/>
          <w:spacing w:val="-4"/>
          <w:sz w:val="32"/>
          <w:szCs w:val="32"/>
        </w:rPr>
      </w:pPr>
    </w:p>
    <w:p w14:paraId="7CDBB43C">
      <w:pPr>
        <w:pStyle w:val="2"/>
        <w:rPr>
          <w:rStyle w:val="23"/>
          <w:rFonts w:eastAsia="黑体"/>
          <w:b/>
          <w:bCs w:val="0"/>
          <w:spacing w:val="-4"/>
          <w:sz w:val="32"/>
          <w:szCs w:val="32"/>
        </w:rPr>
      </w:pPr>
    </w:p>
    <w:p w14:paraId="7ABC106C">
      <w:pPr>
        <w:rPr>
          <w:rStyle w:val="23"/>
          <w:rFonts w:eastAsia="黑体"/>
          <w:bCs w:val="0"/>
          <w:spacing w:val="-4"/>
          <w:sz w:val="32"/>
          <w:szCs w:val="32"/>
        </w:rPr>
      </w:pPr>
    </w:p>
    <w:tbl>
      <w:tblPr>
        <w:tblStyle w:val="21"/>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6"/>
        <w:gridCol w:w="796"/>
        <w:gridCol w:w="961"/>
        <w:gridCol w:w="1513"/>
        <w:gridCol w:w="756"/>
        <w:gridCol w:w="932"/>
        <w:gridCol w:w="731"/>
        <w:gridCol w:w="725"/>
        <w:gridCol w:w="955"/>
        <w:gridCol w:w="810"/>
        <w:gridCol w:w="742"/>
        <w:gridCol w:w="847"/>
        <w:gridCol w:w="715"/>
        <w:gridCol w:w="2806"/>
      </w:tblGrid>
      <w:tr w14:paraId="17C9BA60">
        <w:tblPrEx>
          <w:tblCellMar>
            <w:top w:w="0" w:type="dxa"/>
            <w:left w:w="108" w:type="dxa"/>
            <w:bottom w:w="0" w:type="dxa"/>
            <w:right w:w="108" w:type="dxa"/>
          </w:tblCellMar>
        </w:tblPrEx>
        <w:trPr>
          <w:trHeight w:val="519" w:hRule="atLeast"/>
          <w:jc w:val="center"/>
        </w:trPr>
        <w:tc>
          <w:tcPr>
            <w:tcW w:w="291" w:type="pct"/>
            <w:tcBorders>
              <w:top w:val="nil"/>
              <w:left w:val="nil"/>
              <w:bottom w:val="nil"/>
              <w:right w:val="nil"/>
            </w:tcBorders>
            <w:shd w:val="clear" w:color="auto" w:fill="auto"/>
            <w:noWrap/>
            <w:vAlign w:val="center"/>
          </w:tcPr>
          <w:p w14:paraId="03E85DD0">
            <w:pPr>
              <w:keepNext w:val="0"/>
              <w:keepLines w:val="0"/>
              <w:widowControl/>
              <w:suppressLineNumbers w:val="0"/>
              <w:jc w:val="left"/>
              <w:textAlignment w:val="center"/>
              <w:rPr>
                <w:rFonts w:hint="eastAsia" w:ascii="宋体" w:hAnsi="宋体" w:eastAsia="宋体" w:cs="宋体"/>
                <w:i w:val="0"/>
                <w:color w:val="000000"/>
                <w:sz w:val="24"/>
                <w:szCs w:val="24"/>
                <w:u w:val="none"/>
              </w:rPr>
            </w:pPr>
            <w:bookmarkStart w:id="4" w:name="_GoBack"/>
            <w:r>
              <w:rPr>
                <w:rFonts w:hint="eastAsia" w:ascii="宋体" w:hAnsi="宋体" w:eastAsia="宋体" w:cs="宋体"/>
                <w:i w:val="0"/>
                <w:color w:val="000000"/>
                <w:kern w:val="0"/>
                <w:sz w:val="24"/>
                <w:szCs w:val="24"/>
                <w:u w:val="none"/>
                <w:lang w:val="en-US" w:eastAsia="zh-CN" w:bidi="ar"/>
              </w:rPr>
              <w:t>附件1</w:t>
            </w:r>
          </w:p>
        </w:tc>
        <w:tc>
          <w:tcPr>
            <w:tcW w:w="286" w:type="pct"/>
            <w:tcBorders>
              <w:top w:val="nil"/>
              <w:left w:val="nil"/>
              <w:bottom w:val="nil"/>
              <w:right w:val="nil"/>
            </w:tcBorders>
            <w:shd w:val="clear" w:color="auto" w:fill="auto"/>
            <w:noWrap/>
            <w:vAlign w:val="center"/>
          </w:tcPr>
          <w:p w14:paraId="62D1F8F0">
            <w:pPr>
              <w:rPr>
                <w:rFonts w:hint="eastAsia" w:ascii="宋体" w:hAnsi="宋体" w:eastAsia="宋体" w:cs="宋体"/>
                <w:i w:val="0"/>
                <w:color w:val="000000"/>
                <w:sz w:val="22"/>
                <w:szCs w:val="22"/>
                <w:u w:val="none"/>
              </w:rPr>
            </w:pPr>
          </w:p>
        </w:tc>
        <w:tc>
          <w:tcPr>
            <w:tcW w:w="344" w:type="pct"/>
            <w:tcBorders>
              <w:top w:val="nil"/>
              <w:left w:val="nil"/>
              <w:bottom w:val="nil"/>
              <w:right w:val="nil"/>
            </w:tcBorders>
            <w:shd w:val="clear" w:color="auto" w:fill="auto"/>
            <w:noWrap/>
            <w:vAlign w:val="center"/>
          </w:tcPr>
          <w:p w14:paraId="5B35F812">
            <w:pPr>
              <w:rPr>
                <w:rFonts w:hint="eastAsia" w:ascii="宋体" w:hAnsi="宋体" w:eastAsia="宋体" w:cs="宋体"/>
                <w:i w:val="0"/>
                <w:color w:val="000000"/>
                <w:sz w:val="22"/>
                <w:szCs w:val="22"/>
                <w:u w:val="none"/>
              </w:rPr>
            </w:pPr>
          </w:p>
        </w:tc>
        <w:tc>
          <w:tcPr>
            <w:tcW w:w="538" w:type="pct"/>
            <w:tcBorders>
              <w:top w:val="nil"/>
              <w:left w:val="nil"/>
              <w:bottom w:val="nil"/>
              <w:right w:val="nil"/>
            </w:tcBorders>
            <w:shd w:val="clear" w:color="auto" w:fill="auto"/>
            <w:noWrap/>
            <w:vAlign w:val="center"/>
          </w:tcPr>
          <w:p w14:paraId="3618C261">
            <w:pPr>
              <w:rPr>
                <w:rFonts w:hint="eastAsia" w:ascii="宋体" w:hAnsi="宋体" w:eastAsia="宋体" w:cs="宋体"/>
                <w:i w:val="0"/>
                <w:color w:val="000000"/>
                <w:sz w:val="22"/>
                <w:szCs w:val="22"/>
                <w:u w:val="none"/>
              </w:rPr>
            </w:pPr>
          </w:p>
        </w:tc>
        <w:tc>
          <w:tcPr>
            <w:tcW w:w="257" w:type="pct"/>
            <w:tcBorders>
              <w:top w:val="nil"/>
              <w:left w:val="nil"/>
              <w:bottom w:val="nil"/>
              <w:right w:val="nil"/>
            </w:tcBorders>
            <w:shd w:val="clear" w:color="auto" w:fill="auto"/>
            <w:noWrap/>
            <w:vAlign w:val="center"/>
          </w:tcPr>
          <w:p w14:paraId="5D7BFBB8">
            <w:pPr>
              <w:rPr>
                <w:rFonts w:hint="eastAsia" w:ascii="宋体" w:hAnsi="宋体" w:eastAsia="宋体" w:cs="宋体"/>
                <w:i w:val="0"/>
                <w:color w:val="000000"/>
                <w:sz w:val="22"/>
                <w:szCs w:val="22"/>
                <w:u w:val="none"/>
              </w:rPr>
            </w:pPr>
          </w:p>
        </w:tc>
        <w:tc>
          <w:tcPr>
            <w:tcW w:w="334" w:type="pct"/>
            <w:tcBorders>
              <w:top w:val="nil"/>
              <w:left w:val="nil"/>
              <w:bottom w:val="nil"/>
              <w:right w:val="nil"/>
            </w:tcBorders>
            <w:shd w:val="clear" w:color="auto" w:fill="auto"/>
            <w:noWrap/>
            <w:vAlign w:val="center"/>
          </w:tcPr>
          <w:p w14:paraId="2178FECC">
            <w:pPr>
              <w:rPr>
                <w:rFonts w:hint="eastAsia" w:ascii="宋体" w:hAnsi="宋体" w:eastAsia="宋体" w:cs="宋体"/>
                <w:i w:val="0"/>
                <w:color w:val="000000"/>
                <w:sz w:val="22"/>
                <w:szCs w:val="22"/>
                <w:u w:val="none"/>
              </w:rPr>
            </w:pPr>
          </w:p>
        </w:tc>
        <w:tc>
          <w:tcPr>
            <w:tcW w:w="261" w:type="pct"/>
            <w:tcBorders>
              <w:top w:val="nil"/>
              <w:left w:val="nil"/>
              <w:bottom w:val="nil"/>
              <w:right w:val="nil"/>
            </w:tcBorders>
            <w:shd w:val="clear" w:color="auto" w:fill="auto"/>
            <w:noWrap/>
            <w:vAlign w:val="center"/>
          </w:tcPr>
          <w:p w14:paraId="3327CCDD">
            <w:pPr>
              <w:rPr>
                <w:rFonts w:hint="eastAsia" w:ascii="宋体" w:hAnsi="宋体" w:eastAsia="宋体" w:cs="宋体"/>
                <w:i w:val="0"/>
                <w:color w:val="000000"/>
                <w:sz w:val="22"/>
                <w:szCs w:val="22"/>
                <w:u w:val="none"/>
              </w:rPr>
            </w:pPr>
          </w:p>
        </w:tc>
        <w:tc>
          <w:tcPr>
            <w:tcW w:w="261" w:type="pct"/>
            <w:tcBorders>
              <w:top w:val="nil"/>
              <w:left w:val="nil"/>
              <w:bottom w:val="nil"/>
              <w:right w:val="nil"/>
            </w:tcBorders>
            <w:shd w:val="clear" w:color="auto" w:fill="auto"/>
            <w:noWrap/>
            <w:vAlign w:val="center"/>
          </w:tcPr>
          <w:p w14:paraId="734EA5D9">
            <w:pPr>
              <w:rPr>
                <w:rFonts w:hint="eastAsia" w:ascii="宋体" w:hAnsi="宋体" w:eastAsia="宋体" w:cs="宋体"/>
                <w:i w:val="0"/>
                <w:color w:val="000000"/>
                <w:sz w:val="22"/>
                <w:szCs w:val="22"/>
                <w:u w:val="none"/>
              </w:rPr>
            </w:pPr>
          </w:p>
        </w:tc>
        <w:tc>
          <w:tcPr>
            <w:tcW w:w="339" w:type="pct"/>
            <w:tcBorders>
              <w:top w:val="nil"/>
              <w:left w:val="nil"/>
              <w:bottom w:val="nil"/>
              <w:right w:val="nil"/>
            </w:tcBorders>
            <w:shd w:val="clear" w:color="auto" w:fill="auto"/>
            <w:noWrap/>
            <w:vAlign w:val="center"/>
          </w:tcPr>
          <w:p w14:paraId="0D48E6DA">
            <w:pPr>
              <w:rPr>
                <w:rFonts w:hint="eastAsia" w:ascii="宋体" w:hAnsi="宋体" w:eastAsia="宋体" w:cs="宋体"/>
                <w:i w:val="0"/>
                <w:color w:val="000000"/>
                <w:sz w:val="22"/>
                <w:szCs w:val="22"/>
                <w:u w:val="none"/>
              </w:rPr>
            </w:pPr>
          </w:p>
        </w:tc>
        <w:tc>
          <w:tcPr>
            <w:tcW w:w="291" w:type="pct"/>
            <w:tcBorders>
              <w:top w:val="nil"/>
              <w:left w:val="nil"/>
              <w:bottom w:val="nil"/>
              <w:right w:val="nil"/>
            </w:tcBorders>
            <w:shd w:val="clear" w:color="auto" w:fill="auto"/>
            <w:noWrap/>
            <w:vAlign w:val="center"/>
          </w:tcPr>
          <w:p w14:paraId="4FE6D0D1">
            <w:pPr>
              <w:rPr>
                <w:rFonts w:hint="eastAsia" w:ascii="宋体" w:hAnsi="宋体" w:eastAsia="宋体" w:cs="宋体"/>
                <w:i w:val="0"/>
                <w:color w:val="000000"/>
                <w:sz w:val="22"/>
                <w:szCs w:val="22"/>
                <w:u w:val="none"/>
              </w:rPr>
            </w:pPr>
          </w:p>
        </w:tc>
        <w:tc>
          <w:tcPr>
            <w:tcW w:w="266" w:type="pct"/>
            <w:tcBorders>
              <w:top w:val="nil"/>
              <w:left w:val="nil"/>
              <w:bottom w:val="nil"/>
              <w:right w:val="nil"/>
            </w:tcBorders>
            <w:shd w:val="clear" w:color="auto" w:fill="auto"/>
            <w:noWrap/>
            <w:vAlign w:val="center"/>
          </w:tcPr>
          <w:p w14:paraId="66C2B54A">
            <w:pPr>
              <w:rPr>
                <w:rFonts w:hint="eastAsia" w:ascii="宋体" w:hAnsi="宋体" w:eastAsia="宋体" w:cs="宋体"/>
                <w:i w:val="0"/>
                <w:color w:val="000000"/>
                <w:sz w:val="22"/>
                <w:szCs w:val="22"/>
                <w:u w:val="none"/>
              </w:rPr>
            </w:pPr>
          </w:p>
        </w:tc>
        <w:tc>
          <w:tcPr>
            <w:tcW w:w="273" w:type="pct"/>
            <w:tcBorders>
              <w:top w:val="nil"/>
              <w:left w:val="nil"/>
              <w:bottom w:val="nil"/>
              <w:right w:val="nil"/>
            </w:tcBorders>
            <w:shd w:val="clear" w:color="auto" w:fill="auto"/>
            <w:noWrap/>
            <w:vAlign w:val="center"/>
          </w:tcPr>
          <w:p w14:paraId="5CC7E51B">
            <w:pPr>
              <w:rPr>
                <w:rFonts w:hint="eastAsia" w:ascii="宋体" w:hAnsi="宋体" w:eastAsia="宋体" w:cs="宋体"/>
                <w:i w:val="0"/>
                <w:color w:val="000000"/>
                <w:sz w:val="22"/>
                <w:szCs w:val="22"/>
                <w:u w:val="none"/>
              </w:rPr>
            </w:pPr>
          </w:p>
        </w:tc>
        <w:tc>
          <w:tcPr>
            <w:tcW w:w="257" w:type="pct"/>
            <w:tcBorders>
              <w:top w:val="nil"/>
              <w:left w:val="nil"/>
              <w:bottom w:val="nil"/>
              <w:right w:val="nil"/>
            </w:tcBorders>
            <w:shd w:val="clear" w:color="auto" w:fill="auto"/>
            <w:noWrap/>
            <w:vAlign w:val="center"/>
          </w:tcPr>
          <w:p w14:paraId="22B889D1">
            <w:pPr>
              <w:rPr>
                <w:rFonts w:hint="eastAsia" w:ascii="宋体" w:hAnsi="宋体" w:eastAsia="宋体" w:cs="宋体"/>
                <w:i w:val="0"/>
                <w:color w:val="000000"/>
                <w:sz w:val="22"/>
                <w:szCs w:val="22"/>
                <w:u w:val="none"/>
              </w:rPr>
            </w:pPr>
          </w:p>
        </w:tc>
        <w:tc>
          <w:tcPr>
            <w:tcW w:w="994" w:type="pct"/>
            <w:tcBorders>
              <w:top w:val="nil"/>
              <w:left w:val="nil"/>
              <w:bottom w:val="nil"/>
              <w:right w:val="nil"/>
            </w:tcBorders>
            <w:shd w:val="clear" w:color="auto" w:fill="auto"/>
            <w:noWrap/>
            <w:vAlign w:val="center"/>
          </w:tcPr>
          <w:p w14:paraId="6C70D703">
            <w:pPr>
              <w:rPr>
                <w:rFonts w:hint="eastAsia" w:ascii="宋体" w:hAnsi="宋体" w:eastAsia="宋体" w:cs="宋体"/>
                <w:i w:val="0"/>
                <w:color w:val="000000"/>
                <w:sz w:val="22"/>
                <w:szCs w:val="22"/>
                <w:u w:val="none"/>
              </w:rPr>
            </w:pPr>
          </w:p>
        </w:tc>
      </w:tr>
      <w:tr w14:paraId="7E529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5000" w:type="pct"/>
            <w:gridSpan w:val="14"/>
            <w:tcBorders>
              <w:top w:val="nil"/>
              <w:left w:val="nil"/>
              <w:bottom w:val="nil"/>
              <w:right w:val="nil"/>
            </w:tcBorders>
            <w:shd w:val="clear" w:color="auto" w:fill="auto"/>
            <w:vAlign w:val="center"/>
          </w:tcPr>
          <w:p w14:paraId="3241B37C">
            <w:pPr>
              <w:keepNext w:val="0"/>
              <w:keepLines w:val="0"/>
              <w:widowControl/>
              <w:suppressLineNumbers w:val="0"/>
              <w:jc w:val="center"/>
              <w:textAlignment w:val="center"/>
              <w:rPr>
                <w:rFonts w:ascii="华文中宋" w:hAnsi="华文中宋" w:eastAsia="华文中宋" w:cs="华文中宋"/>
                <w:b/>
                <w:i w:val="0"/>
                <w:color w:val="000000"/>
                <w:sz w:val="40"/>
                <w:szCs w:val="40"/>
                <w:u w:val="none"/>
              </w:rPr>
            </w:pPr>
            <w:r>
              <w:rPr>
                <w:rFonts w:hint="default" w:ascii="华文中宋" w:hAnsi="华文中宋" w:eastAsia="华文中宋" w:cs="华文中宋"/>
                <w:b/>
                <w:i w:val="0"/>
                <w:color w:val="000000"/>
                <w:kern w:val="0"/>
                <w:sz w:val="40"/>
                <w:szCs w:val="40"/>
                <w:u w:val="none"/>
                <w:lang w:val="en-US" w:eastAsia="zh-CN" w:bidi="ar"/>
              </w:rPr>
              <w:t>项目支出绩效自评表</w:t>
            </w:r>
          </w:p>
        </w:tc>
      </w:tr>
      <w:tr w14:paraId="508B2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5000" w:type="pct"/>
            <w:gridSpan w:val="14"/>
            <w:tcBorders>
              <w:top w:val="nil"/>
              <w:left w:val="nil"/>
              <w:bottom w:val="nil"/>
              <w:right w:val="nil"/>
            </w:tcBorders>
            <w:shd w:val="clear" w:color="auto" w:fill="auto"/>
            <w:vAlign w:val="center"/>
          </w:tcPr>
          <w:p w14:paraId="0C01195D">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（2024年度）</w:t>
            </w:r>
          </w:p>
        </w:tc>
      </w:tr>
      <w:tr w14:paraId="48879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CC3E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4422"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1E650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自治区战略性新兴产业专项资金项目</w:t>
            </w:r>
          </w:p>
        </w:tc>
      </w:tr>
      <w:tr w14:paraId="62240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5843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17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749B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自治区工信厅</w:t>
            </w:r>
          </w:p>
        </w:tc>
        <w:tc>
          <w:tcPr>
            <w:tcW w:w="6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DC6C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0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1838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自治区工信厅科技质量处</w:t>
            </w:r>
          </w:p>
        </w:tc>
      </w:tr>
      <w:tr w14:paraId="7196A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7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9CED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3546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资金来源</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51F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0E4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6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4224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ABFD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p>
        </w:tc>
        <w:tc>
          <w:tcPr>
            <w:tcW w:w="5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B08F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38E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3D0A8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7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493C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79B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B6D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EFEC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w:t>
            </w:r>
          </w:p>
        </w:tc>
        <w:tc>
          <w:tcPr>
            <w:tcW w:w="6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DB28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A038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E00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0DDC0">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r>
      <w:tr w14:paraId="1FDD5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7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1873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1D71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233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800.00 </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9A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800.00 </w:t>
            </w:r>
          </w:p>
        </w:tc>
        <w:tc>
          <w:tcPr>
            <w:tcW w:w="6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36E6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D712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BFE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B2A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E468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7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10A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883" w:type="pct"/>
            <w:gridSpan w:val="2"/>
            <w:tcBorders>
              <w:top w:val="single" w:color="000000" w:sz="4" w:space="0"/>
              <w:left w:val="single" w:color="000000" w:sz="4" w:space="0"/>
              <w:bottom w:val="nil"/>
              <w:right w:val="single" w:color="000000" w:sz="4" w:space="0"/>
            </w:tcBorders>
            <w:shd w:val="clear" w:color="auto" w:fill="auto"/>
            <w:vAlign w:val="center"/>
          </w:tcPr>
          <w:p w14:paraId="693A17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57" w:type="pct"/>
            <w:tcBorders>
              <w:top w:val="single" w:color="000000" w:sz="4" w:space="0"/>
              <w:left w:val="single" w:color="000000" w:sz="4" w:space="0"/>
              <w:bottom w:val="nil"/>
              <w:right w:val="single" w:color="000000" w:sz="4" w:space="0"/>
            </w:tcBorders>
            <w:shd w:val="clear" w:color="auto" w:fill="auto"/>
            <w:vAlign w:val="center"/>
          </w:tcPr>
          <w:p w14:paraId="0C71DC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96" w:type="pct"/>
            <w:gridSpan w:val="2"/>
            <w:tcBorders>
              <w:top w:val="single" w:color="000000" w:sz="4" w:space="0"/>
              <w:left w:val="single" w:color="000000" w:sz="4" w:space="0"/>
              <w:bottom w:val="nil"/>
              <w:right w:val="single" w:color="000000" w:sz="4" w:space="0"/>
            </w:tcBorders>
            <w:shd w:val="clear" w:color="auto" w:fill="auto"/>
            <w:vAlign w:val="center"/>
          </w:tcPr>
          <w:p w14:paraId="2CD5D7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01" w:type="pct"/>
            <w:gridSpan w:val="2"/>
            <w:tcBorders>
              <w:top w:val="single" w:color="000000" w:sz="4" w:space="0"/>
              <w:left w:val="single" w:color="000000" w:sz="4" w:space="0"/>
              <w:bottom w:val="nil"/>
              <w:right w:val="single" w:color="000000" w:sz="4" w:space="0"/>
            </w:tcBorders>
            <w:shd w:val="clear" w:color="auto" w:fill="auto"/>
            <w:vAlign w:val="center"/>
          </w:tcPr>
          <w:p w14:paraId="31779E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7BF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72A2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20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68A12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272E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6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3E15E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总体目标</w:t>
            </w:r>
          </w:p>
        </w:tc>
        <w:tc>
          <w:tcPr>
            <w:tcW w:w="20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1B9D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总体目标完成情况</w:t>
            </w:r>
          </w:p>
        </w:tc>
      </w:tr>
      <w:tr w14:paraId="156E7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6DBA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6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1B842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把政府引导与市场作用结合起来，把壮大优势产业与建设重点项目结合起来，集中力量优先发展优势产业，建设一批重大项目，发展一批重点产品，以骨干企业、重大项目、重点产品支撑优势产业快速发展。2.推进智能工厂/数字化车间建设，引导企业开展智能制造改造，推进人工智能、大数据、工业互联网等新技术新模式与实体经济融合。3.推动实施自治区首台套创新奖励，推进首台（套）、首批次创新产品的研发和推广应用，加速首台（套）、首批次创新产品产业化进程。4.提高我区企业在新技术研发创新、新产业发展、新模式应用等方面的水平，为经济高质量发展和企业转型升级提供人才支撑。5.完成自治区战略性新兴产业资金项目15个左右项目，引导社会投资约1亿元左右，建成后新增产值1亿元左右。</w:t>
            </w:r>
          </w:p>
        </w:tc>
        <w:tc>
          <w:tcPr>
            <w:tcW w:w="20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782A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前资金已拨付各地州，完成重点战略性新兴产业建设项目11项、完成新模式新业态应用项目3项、完成首台（套）首批次首版次奖励项目9项。数量已全部超预期进行了支持，进一步引导相关优势战新产业加大重点产品、重大项目投入，引导企业加大科研创新力度，加快产业转型升级，进一步提升自治区战略新兴产业发展壮大。强化规划引导、政策扶持和组织协调，充分发挥战略性新兴产业的引领和带动作用，加快传统产业转型升级，提高经济综合实力。完成自治区战略性新兴产业资金项专项资金支持，引导社会投资</w:t>
            </w:r>
            <w:r>
              <w:rPr>
                <w:rFonts w:hint="eastAsia" w:ascii="宋体" w:hAnsi="宋体" w:cs="宋体"/>
                <w:i w:val="0"/>
                <w:color w:val="000000"/>
                <w:kern w:val="0"/>
                <w:sz w:val="18"/>
                <w:szCs w:val="18"/>
                <w:u w:val="none"/>
                <w:lang w:val="en-US" w:eastAsia="zh-CN" w:bidi="ar"/>
              </w:rPr>
              <w:t>1.08</w:t>
            </w:r>
            <w:r>
              <w:rPr>
                <w:rFonts w:hint="eastAsia" w:ascii="宋体" w:hAnsi="宋体" w:eastAsia="宋体" w:cs="宋体"/>
                <w:i w:val="0"/>
                <w:color w:val="000000"/>
                <w:kern w:val="0"/>
                <w:sz w:val="18"/>
                <w:szCs w:val="18"/>
                <w:u w:val="none"/>
                <w:lang w:val="en-US" w:eastAsia="zh-CN" w:bidi="ar"/>
              </w:rPr>
              <w:t>亿元左右，新增产值</w:t>
            </w:r>
            <w:r>
              <w:rPr>
                <w:rFonts w:hint="eastAsia" w:ascii="宋体" w:hAnsi="宋体" w:cs="宋体"/>
                <w:i w:val="0"/>
                <w:color w:val="000000"/>
                <w:kern w:val="0"/>
                <w:sz w:val="18"/>
                <w:szCs w:val="18"/>
                <w:u w:val="none"/>
                <w:lang w:val="en-US" w:eastAsia="zh-CN" w:bidi="ar"/>
              </w:rPr>
              <w:t>1.02</w:t>
            </w:r>
            <w:r>
              <w:rPr>
                <w:rFonts w:hint="eastAsia" w:ascii="宋体" w:hAnsi="宋体" w:eastAsia="宋体" w:cs="宋体"/>
                <w:i w:val="0"/>
                <w:color w:val="000000"/>
                <w:kern w:val="0"/>
                <w:sz w:val="18"/>
                <w:szCs w:val="18"/>
                <w:u w:val="none"/>
                <w:lang w:val="en-US" w:eastAsia="zh-CN" w:bidi="ar"/>
              </w:rPr>
              <w:t>亿元左右。</w:t>
            </w:r>
          </w:p>
        </w:tc>
      </w:tr>
      <w:tr w14:paraId="259E6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246D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4A9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EC6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9B6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B9C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D6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指标值设置依据</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3C4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上年完成值</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61D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指标分值权重</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FEF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指标赋分规则</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CA8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佐证资料</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ED1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指标实际完成值</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6CA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E4E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指标得分</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E9C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102F7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jc w:val="center"/>
        </w:trPr>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C25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7410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161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9A2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完成重点战略性新兴产业建设项目</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131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8个</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4D4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836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14个</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141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91F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1C3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025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11个</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172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137.50%</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AF1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8F1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偏差原因：2024年度拟支持项目数量为8个左右，实际项目评审结束后挑选了11个优秀项目予以支持，高于预计值。</w:t>
            </w:r>
          </w:p>
          <w:p w14:paraId="07F710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改进措施：2025年度制定预算是进一步完善指标，并在遴选支持项目时进一步对照预算执行。</w:t>
            </w:r>
          </w:p>
        </w:tc>
      </w:tr>
      <w:tr w14:paraId="180EB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BB23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CC47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3BF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4BC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完成新模式新业态应用项目</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2D5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87B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03B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4个</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B5A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3B5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191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0D3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F10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F64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138D">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18"/>
                <w:szCs w:val="18"/>
                <w:u w:val="none"/>
              </w:rPr>
            </w:pPr>
          </w:p>
        </w:tc>
      </w:tr>
      <w:tr w14:paraId="2171D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36D5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7622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D5FA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98C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完成首台（套）首批次首版次奖励项目</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31B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4个</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27B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FB8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00D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432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2B2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E4A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9个</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539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225%</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3F6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0</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3F5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偏差原因：计划支持4个左右首台（套）、首批次、首版次产品，实际结合地州申报情况，遴选支持9个项目。</w:t>
            </w:r>
          </w:p>
          <w:p w14:paraId="018D5D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改进措施：2025年度制定预算是进一步完善指标，并在遴选支持项目时进一步对照预算执行。</w:t>
            </w:r>
          </w:p>
        </w:tc>
      </w:tr>
      <w:tr w14:paraId="23119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CF33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0DC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DF8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BE6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资金使用合规率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991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0FF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954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662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BC9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CA7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B93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267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8C1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47DB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r>
      <w:tr w14:paraId="692B1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1C2C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EF5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DFF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EB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资金拨付及时率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1EF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&gt;=80%</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575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25A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230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065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0B0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5BA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80</w:t>
            </w:r>
            <w:r>
              <w:rPr>
                <w:rFonts w:hint="eastAsia" w:ascii="宋体" w:hAnsi="宋体" w:eastAsia="宋体" w:cs="宋体"/>
                <w:i w:val="0"/>
                <w:color w:val="000000"/>
                <w:kern w:val="0"/>
                <w:sz w:val="18"/>
                <w:szCs w:val="18"/>
                <w:u w:val="none"/>
                <w:lang w:val="en-US" w:eastAsia="zh-CN" w:bidi="ar"/>
              </w:rPr>
              <w:t>%</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0B7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100</w:t>
            </w:r>
            <w:r>
              <w:rPr>
                <w:rFonts w:hint="eastAsia" w:ascii="宋体" w:hAnsi="宋体" w:eastAsia="宋体" w:cs="宋体"/>
                <w:i w:val="0"/>
                <w:color w:val="000000"/>
                <w:kern w:val="0"/>
                <w:sz w:val="18"/>
                <w:szCs w:val="18"/>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72C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196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r>
      <w:tr w14:paraId="4BB6C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42D8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A02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93E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9B7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重点战略性新兴产业建设项目</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4A1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&lt;=500万元</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E83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A5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530万元</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A46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4A9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C18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047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505</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7B2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101.00%</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B74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9.9</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E1B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偏差原因：因资金分配需根据项目投入情况进行划档，既要拉开档差，还要保证同一档位一致，所以无法严丝合缝符合绩效目标</w:t>
            </w:r>
            <w:r>
              <w:rPr>
                <w:rFonts w:hint="eastAsia" w:ascii="宋体" w:hAnsi="宋体" w:cs="宋体"/>
                <w:i w:val="0"/>
                <w:color w:val="000000"/>
                <w:kern w:val="0"/>
                <w:sz w:val="18"/>
                <w:szCs w:val="18"/>
                <w:u w:val="none"/>
                <w:lang w:val="en-US" w:eastAsia="zh-CN" w:bidi="ar"/>
              </w:rPr>
              <w:t>填报</w:t>
            </w:r>
            <w:r>
              <w:rPr>
                <w:rFonts w:hint="eastAsia" w:ascii="宋体" w:hAnsi="宋体" w:eastAsia="宋体" w:cs="宋体"/>
                <w:i w:val="0"/>
                <w:color w:val="000000"/>
                <w:kern w:val="0"/>
                <w:sz w:val="18"/>
                <w:szCs w:val="18"/>
                <w:u w:val="none"/>
                <w:lang w:val="en-US" w:eastAsia="zh-CN" w:bidi="ar"/>
              </w:rPr>
              <w:t>值。</w:t>
            </w:r>
          </w:p>
        </w:tc>
      </w:tr>
      <w:tr w14:paraId="31417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326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6471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F98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374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新模式新业态及首台（套）奖励成本</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835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&lt;=300万元</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F01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D83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270万元</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12A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B16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09C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F4B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295</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0BE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98.33%</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D96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9.58</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D9C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偏差原因：因资金分配需根据项目投入情况进行划档，既要拉开档差，还要保证同一档位一致，所以无法严丝合缝符合绩效目标</w:t>
            </w:r>
            <w:r>
              <w:rPr>
                <w:rFonts w:hint="eastAsia" w:ascii="宋体" w:hAnsi="宋体" w:cs="宋体"/>
                <w:i w:val="0"/>
                <w:color w:val="000000"/>
                <w:kern w:val="0"/>
                <w:sz w:val="18"/>
                <w:szCs w:val="18"/>
                <w:u w:val="none"/>
                <w:lang w:val="en-US" w:eastAsia="zh-CN" w:bidi="ar"/>
              </w:rPr>
              <w:t>填报</w:t>
            </w:r>
            <w:r>
              <w:rPr>
                <w:rFonts w:hint="eastAsia" w:ascii="宋体" w:hAnsi="宋体" w:eastAsia="宋体" w:cs="宋体"/>
                <w:i w:val="0"/>
                <w:color w:val="000000"/>
                <w:kern w:val="0"/>
                <w:sz w:val="18"/>
                <w:szCs w:val="18"/>
                <w:u w:val="none"/>
                <w:lang w:val="en-US" w:eastAsia="zh-CN" w:bidi="ar"/>
              </w:rPr>
              <w:t>值。</w:t>
            </w:r>
          </w:p>
        </w:tc>
      </w:tr>
      <w:tr w14:paraId="36C0F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877D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1376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DBE6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536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引导战新企业社会投资</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D94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&gt;=1亿元</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857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424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58亿元</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5B0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31A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2A9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932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Fonts w:hint="eastAsia" w:ascii="宋体" w:hAnsi="宋体" w:cs="宋体"/>
                <w:i w:val="0"/>
                <w:color w:val="000000"/>
                <w:kern w:val="0"/>
                <w:sz w:val="18"/>
                <w:szCs w:val="18"/>
                <w:u w:val="none"/>
                <w:lang w:val="en-US" w:eastAsia="zh-CN" w:bidi="ar"/>
              </w:rPr>
              <w:t>.08</w:t>
            </w:r>
            <w:r>
              <w:rPr>
                <w:rFonts w:hint="eastAsia" w:ascii="宋体" w:hAnsi="宋体" w:eastAsia="宋体" w:cs="宋体"/>
                <w:i w:val="0"/>
                <w:color w:val="000000"/>
                <w:kern w:val="0"/>
                <w:sz w:val="18"/>
                <w:szCs w:val="18"/>
                <w:u w:val="none"/>
                <w:lang w:val="en-US" w:eastAsia="zh-CN" w:bidi="ar"/>
              </w:rPr>
              <w:t>亿元</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682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108</w:t>
            </w:r>
            <w:r>
              <w:rPr>
                <w:rFonts w:hint="eastAsia" w:ascii="宋体" w:hAnsi="宋体" w:eastAsia="宋体" w:cs="宋体"/>
                <w:i w:val="0"/>
                <w:color w:val="000000"/>
                <w:kern w:val="0"/>
                <w:sz w:val="18"/>
                <w:szCs w:val="18"/>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CA2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6.44</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C7C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偏差原因：考虑受大环境经济因素影响，企业投资额增速幅度不大，参考上年1亿元指标设置数值。</w:t>
            </w:r>
          </w:p>
          <w:p w14:paraId="23986D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改进措施：2025年度标准时，根据上年度数值情况合理设定指标数值。</w:t>
            </w:r>
          </w:p>
        </w:tc>
      </w:tr>
      <w:tr w14:paraId="59E5E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E1D3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224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FA1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5D7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新增企业工业总产值</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A7C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&gt;=1亿元</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9A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620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48亿元</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8BF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764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FE6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EE6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1.02</w:t>
            </w:r>
            <w:r>
              <w:rPr>
                <w:rFonts w:hint="eastAsia" w:ascii="宋体" w:hAnsi="宋体" w:eastAsia="宋体" w:cs="宋体"/>
                <w:i w:val="0"/>
                <w:color w:val="000000"/>
                <w:kern w:val="0"/>
                <w:sz w:val="18"/>
                <w:szCs w:val="18"/>
                <w:u w:val="none"/>
                <w:lang w:val="en-US" w:eastAsia="zh-CN" w:bidi="ar"/>
              </w:rPr>
              <w:t>亿元</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8F7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102</w:t>
            </w:r>
            <w:r>
              <w:rPr>
                <w:rFonts w:hint="eastAsia" w:ascii="宋体" w:hAnsi="宋体" w:eastAsia="宋体" w:cs="宋体"/>
                <w:i w:val="0"/>
                <w:color w:val="000000"/>
                <w:kern w:val="0"/>
                <w:sz w:val="18"/>
                <w:szCs w:val="18"/>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88C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6.86</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DA8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偏差原因：参考上年企业完成的1亿元指标设置数值。</w:t>
            </w:r>
          </w:p>
          <w:p w14:paraId="6AFF48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改进措施：设定2025年度标准时，根据上年度数值情况合理设定指标数值。</w:t>
            </w:r>
          </w:p>
        </w:tc>
      </w:tr>
      <w:tr w14:paraId="15B3E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C85B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C9B1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B67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CAF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推进人工智能、大数据等新模式新业态与实体经济融合</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903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有效推进</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085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B16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有效推进</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B5C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69E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按评判等级赋分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E8E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324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有效推进</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AFD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4BE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30C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r>
      <w:tr w14:paraId="24533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2A3D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D1D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55A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580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企业满意度</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681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8BC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D7E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724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C44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2F1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147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r>
              <w:rPr>
                <w:rFonts w:hint="eastAsia" w:ascii="宋体" w:hAnsi="宋体" w:cs="宋体"/>
                <w:i w:val="0"/>
                <w:color w:val="000000"/>
                <w:kern w:val="0"/>
                <w:sz w:val="18"/>
                <w:szCs w:val="18"/>
                <w:u w:val="none"/>
                <w:lang w:val="en-US" w:eastAsia="zh-CN" w:bidi="ar"/>
              </w:rPr>
              <w:t>0</w:t>
            </w:r>
            <w:r>
              <w:rPr>
                <w:rFonts w:hint="eastAsia" w:ascii="宋体" w:hAnsi="宋体" w:eastAsia="宋体" w:cs="宋体"/>
                <w:i w:val="0"/>
                <w:color w:val="000000"/>
                <w:kern w:val="0"/>
                <w:sz w:val="18"/>
                <w:szCs w:val="18"/>
                <w:u w:val="none"/>
                <w:lang w:val="en-US" w:eastAsia="zh-CN" w:bidi="ar"/>
              </w:rPr>
              <w:t>%</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E69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100</w:t>
            </w:r>
            <w:r>
              <w:rPr>
                <w:rFonts w:hint="eastAsia" w:ascii="宋体" w:hAnsi="宋体" w:eastAsia="宋体" w:cs="宋体"/>
                <w:i w:val="0"/>
                <w:color w:val="000000"/>
                <w:kern w:val="0"/>
                <w:sz w:val="18"/>
                <w:szCs w:val="18"/>
                <w:u w:val="none"/>
                <w:lang w:val="en-US" w:eastAsia="zh-CN" w:bidi="ar"/>
              </w:rPr>
              <w:t>%</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8D1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3FB4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r>
      <w:tr w14:paraId="2C68B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460" w:type="pct"/>
            <w:gridSpan w:val="4"/>
            <w:tcBorders>
              <w:top w:val="single" w:color="000000" w:sz="4" w:space="0"/>
              <w:left w:val="single" w:color="000000" w:sz="4" w:space="0"/>
              <w:bottom w:val="single" w:color="000000" w:sz="4" w:space="0"/>
              <w:right w:val="nil"/>
            </w:tcBorders>
            <w:shd w:val="clear" w:color="auto" w:fill="auto"/>
            <w:vAlign w:val="center"/>
          </w:tcPr>
          <w:p w14:paraId="1CF927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23B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334" w:type="pct"/>
            <w:tcBorders>
              <w:top w:val="single" w:color="000000" w:sz="4" w:space="0"/>
              <w:left w:val="nil"/>
              <w:bottom w:val="single" w:color="000000" w:sz="4" w:space="0"/>
              <w:right w:val="single" w:color="000000" w:sz="4" w:space="0"/>
            </w:tcBorders>
            <w:shd w:val="clear" w:color="auto" w:fill="auto"/>
            <w:vAlign w:val="center"/>
          </w:tcPr>
          <w:p w14:paraId="202E1798">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color w:val="000000"/>
                <w:sz w:val="18"/>
                <w:szCs w:val="18"/>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3912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AAB6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D10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F43F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color w:val="000000"/>
                <w:sz w:val="18"/>
                <w:szCs w:val="18"/>
                <w:u w:val="none"/>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C472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BA02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color w:val="000000"/>
                <w:sz w:val="18"/>
                <w:szCs w:val="18"/>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D34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87.78</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B9E30">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color w:val="000000"/>
                <w:sz w:val="18"/>
                <w:szCs w:val="18"/>
                <w:u w:val="none"/>
              </w:rPr>
            </w:pPr>
          </w:p>
        </w:tc>
      </w:tr>
      <w:bookmarkEnd w:id="4"/>
    </w:tbl>
    <w:p w14:paraId="6D24E30D">
      <w:pPr>
        <w:pStyle w:val="2"/>
        <w:jc w:val="both"/>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微信用户" w:date="2025-08-26T16:44:51Z" w:initials="">
    <w:p w14:paraId="7244E616">
      <w:pPr>
        <w:pStyle w:val="12"/>
        <w:rPr>
          <w:rFonts w:hint="default" w:eastAsia="宋体"/>
          <w:lang w:val="en-US" w:eastAsia="zh-CN"/>
        </w:rPr>
      </w:pPr>
      <w:r>
        <w:rPr>
          <w:rFonts w:hint="eastAsia"/>
          <w:lang w:val="en-US" w:eastAsia="zh-CN"/>
        </w:rPr>
        <w:t>修改字体</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244E61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A28E73B">
        <w:pPr>
          <w:pStyle w:val="16"/>
          <w:jc w:val="center"/>
        </w:pPr>
        <w:r>
          <w:fldChar w:fldCharType="begin"/>
        </w:r>
        <w:r>
          <w:instrText xml:space="preserve">PAGE   \* MERGEFORMAT</w:instrText>
        </w:r>
        <w:r>
          <w:fldChar w:fldCharType="separate"/>
        </w:r>
        <w:r>
          <w:rPr>
            <w:lang w:val="zh-CN"/>
          </w:rPr>
          <w:t>17</w:t>
        </w:r>
        <w:r>
          <w:fldChar w:fldCharType="end"/>
        </w:r>
      </w:p>
    </w:sdtContent>
  </w:sdt>
  <w:p w14:paraId="7AFC7C50">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4"/>
  </w:num>
  <w:num w:numId="4">
    <w:abstractNumId w:val="5"/>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信用户">
    <w15:presenceInfo w15:providerId="WPS Office" w15:userId="10337325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ZmMDNiMzZhYjExNzA0MjFhZTNlNjNmMTFjZmE0Mjg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C75270"/>
    <w:rsid w:val="12637CC3"/>
    <w:rsid w:val="12E657C5"/>
    <w:rsid w:val="133C6E2A"/>
    <w:rsid w:val="167C7687"/>
    <w:rsid w:val="168B3546"/>
    <w:rsid w:val="1A2374E0"/>
    <w:rsid w:val="1C317CE2"/>
    <w:rsid w:val="1DD45808"/>
    <w:rsid w:val="1DED42AC"/>
    <w:rsid w:val="1EFD3363"/>
    <w:rsid w:val="20005763"/>
    <w:rsid w:val="20FB313D"/>
    <w:rsid w:val="216252CD"/>
    <w:rsid w:val="220B4804"/>
    <w:rsid w:val="24E0561A"/>
    <w:rsid w:val="278B653F"/>
    <w:rsid w:val="282475E3"/>
    <w:rsid w:val="29E421D9"/>
    <w:rsid w:val="2B3202B6"/>
    <w:rsid w:val="2BFD5B29"/>
    <w:rsid w:val="2C6100C1"/>
    <w:rsid w:val="30463541"/>
    <w:rsid w:val="3235157C"/>
    <w:rsid w:val="3264220D"/>
    <w:rsid w:val="32A83563"/>
    <w:rsid w:val="35AE2C2F"/>
    <w:rsid w:val="38872456"/>
    <w:rsid w:val="3963178C"/>
    <w:rsid w:val="3BA5236D"/>
    <w:rsid w:val="3CAE3958"/>
    <w:rsid w:val="3CED0699"/>
    <w:rsid w:val="3EB02FD6"/>
    <w:rsid w:val="3FB3B370"/>
    <w:rsid w:val="3FF027C2"/>
    <w:rsid w:val="41CC2676"/>
    <w:rsid w:val="454E0A80"/>
    <w:rsid w:val="464C0026"/>
    <w:rsid w:val="46B21672"/>
    <w:rsid w:val="47893B2C"/>
    <w:rsid w:val="4CDB2104"/>
    <w:rsid w:val="4F552460"/>
    <w:rsid w:val="4FCC6863"/>
    <w:rsid w:val="500A214A"/>
    <w:rsid w:val="522D604D"/>
    <w:rsid w:val="5297585E"/>
    <w:rsid w:val="52AD7D6F"/>
    <w:rsid w:val="5549519D"/>
    <w:rsid w:val="5557596B"/>
    <w:rsid w:val="563D677C"/>
    <w:rsid w:val="567F93CA"/>
    <w:rsid w:val="5A783811"/>
    <w:rsid w:val="5B596DFC"/>
    <w:rsid w:val="5DAE6D00"/>
    <w:rsid w:val="5DD7084C"/>
    <w:rsid w:val="5DF03945"/>
    <w:rsid w:val="5F03526B"/>
    <w:rsid w:val="62E515AF"/>
    <w:rsid w:val="637C2815"/>
    <w:rsid w:val="666B4FDC"/>
    <w:rsid w:val="67FF13C8"/>
    <w:rsid w:val="682144B7"/>
    <w:rsid w:val="6B503F77"/>
    <w:rsid w:val="6D77327C"/>
    <w:rsid w:val="6DFF15C6"/>
    <w:rsid w:val="6E311968"/>
    <w:rsid w:val="79DF8A4E"/>
    <w:rsid w:val="7A353D0B"/>
    <w:rsid w:val="7AFF52EF"/>
    <w:rsid w:val="7CB927D8"/>
    <w:rsid w:val="7D3A5E2F"/>
    <w:rsid w:val="7D3BB98D"/>
    <w:rsid w:val="7DDC25A9"/>
    <w:rsid w:val="7FF9F804"/>
    <w:rsid w:val="7FFF1CED"/>
    <w:rsid w:val="AB8A6561"/>
    <w:rsid w:val="AEFFA411"/>
    <w:rsid w:val="B5FBCF3D"/>
    <w:rsid w:val="BADF7182"/>
    <w:rsid w:val="CF71DA40"/>
    <w:rsid w:val="D5F722B7"/>
    <w:rsid w:val="D7E67C90"/>
    <w:rsid w:val="E7DF8A21"/>
    <w:rsid w:val="EBBE2D00"/>
    <w:rsid w:val="F7B5863A"/>
    <w:rsid w:val="FAB72DE1"/>
    <w:rsid w:val="FD7A20EE"/>
    <w:rsid w:val="FF65655E"/>
    <w:rsid w:val="FF7F89A0"/>
    <w:rsid w:val="FFBE9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1"/>
    <w:semiHidden/>
    <w:unhideWhenUsed/>
    <w:qFormat/>
    <w:uiPriority w:val="99"/>
    <w:rPr>
      <w:sz w:val="18"/>
      <w:szCs w:val="18"/>
    </w:rPr>
  </w:style>
  <w:style w:type="paragraph" w:styleId="16">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qFormat/>
    <w:uiPriority w:val="0"/>
    <w:pPr>
      <w:spacing w:after="0"/>
      <w:ind w:firstLine="200" w:firstLineChars="200"/>
    </w:pPr>
  </w:style>
  <w:style w:type="paragraph" w:styleId="20">
    <w:name w:val="Body Text First Indent 2"/>
    <w:basedOn w:val="14"/>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paragraph" w:customStyle="1" w:styleId="25">
    <w:name w:val="样式1"/>
    <w:basedOn w:val="1"/>
    <w:next w:val="6"/>
    <w:qFormat/>
    <w:uiPriority w:val="0"/>
    <w:pPr>
      <w:ind w:firstLine="420"/>
    </w:pPr>
    <w:rPr>
      <w:rFonts w:ascii="宋体" w:hAnsi="宋体"/>
      <w:szCs w:val="21"/>
    </w:rPr>
  </w:style>
  <w:style w:type="character" w:customStyle="1" w:styleId="26">
    <w:name w:val="标题 1 字符"/>
    <w:basedOn w:val="22"/>
    <w:link w:val="3"/>
    <w:qFormat/>
    <w:uiPriority w:val="9"/>
    <w:rPr>
      <w:rFonts w:asciiTheme="majorHAnsi" w:hAnsiTheme="majorHAnsi" w:eastAsiaTheme="majorEastAsia"/>
      <w:b/>
      <w:bCs/>
      <w:kern w:val="32"/>
      <w:sz w:val="32"/>
      <w:szCs w:val="32"/>
    </w:rPr>
  </w:style>
  <w:style w:type="character" w:customStyle="1" w:styleId="27">
    <w:name w:val="标题 2 字符"/>
    <w:basedOn w:val="22"/>
    <w:link w:val="4"/>
    <w:semiHidden/>
    <w:qFormat/>
    <w:uiPriority w:val="9"/>
    <w:rPr>
      <w:rFonts w:asciiTheme="majorHAnsi" w:hAnsiTheme="majorHAnsi" w:eastAsiaTheme="majorEastAsia"/>
      <w:b/>
      <w:bCs/>
      <w:i/>
      <w:iCs/>
      <w:sz w:val="28"/>
      <w:szCs w:val="28"/>
    </w:rPr>
  </w:style>
  <w:style w:type="character" w:customStyle="1" w:styleId="28">
    <w:name w:val="标题 3 字符"/>
    <w:basedOn w:val="22"/>
    <w:link w:val="5"/>
    <w:semiHidden/>
    <w:qFormat/>
    <w:uiPriority w:val="9"/>
    <w:rPr>
      <w:rFonts w:asciiTheme="majorHAnsi" w:hAnsiTheme="majorHAnsi" w:eastAsiaTheme="majorEastAsia"/>
      <w:b/>
      <w:bCs/>
      <w:sz w:val="26"/>
      <w:szCs w:val="26"/>
    </w:rPr>
  </w:style>
  <w:style w:type="character" w:customStyle="1" w:styleId="29">
    <w:name w:val="标题 4 字符"/>
    <w:basedOn w:val="22"/>
    <w:link w:val="6"/>
    <w:semiHidden/>
    <w:qFormat/>
    <w:uiPriority w:val="9"/>
    <w:rPr>
      <w:b/>
      <w:bCs/>
      <w:sz w:val="28"/>
      <w:szCs w:val="28"/>
    </w:rPr>
  </w:style>
  <w:style w:type="character" w:customStyle="1" w:styleId="30">
    <w:name w:val="标题 5 字符"/>
    <w:basedOn w:val="22"/>
    <w:link w:val="7"/>
    <w:semiHidden/>
    <w:qFormat/>
    <w:uiPriority w:val="9"/>
    <w:rPr>
      <w:b/>
      <w:bCs/>
      <w:i/>
      <w:iCs/>
      <w:sz w:val="26"/>
      <w:szCs w:val="26"/>
    </w:rPr>
  </w:style>
  <w:style w:type="character" w:customStyle="1" w:styleId="31">
    <w:name w:val="标题 6 字符"/>
    <w:basedOn w:val="22"/>
    <w:link w:val="8"/>
    <w:semiHidden/>
    <w:qFormat/>
    <w:uiPriority w:val="9"/>
    <w:rPr>
      <w:b/>
      <w:bCs/>
    </w:rPr>
  </w:style>
  <w:style w:type="character" w:customStyle="1" w:styleId="32">
    <w:name w:val="标题 7 字符"/>
    <w:basedOn w:val="22"/>
    <w:link w:val="9"/>
    <w:semiHidden/>
    <w:qFormat/>
    <w:uiPriority w:val="9"/>
    <w:rPr>
      <w:sz w:val="24"/>
      <w:szCs w:val="24"/>
    </w:rPr>
  </w:style>
  <w:style w:type="character" w:customStyle="1" w:styleId="33">
    <w:name w:val="标题 8 字符"/>
    <w:basedOn w:val="22"/>
    <w:link w:val="10"/>
    <w:semiHidden/>
    <w:qFormat/>
    <w:uiPriority w:val="9"/>
    <w:rPr>
      <w:i/>
      <w:iCs/>
      <w:sz w:val="24"/>
      <w:szCs w:val="24"/>
    </w:rPr>
  </w:style>
  <w:style w:type="character" w:customStyle="1" w:styleId="34">
    <w:name w:val="标题 9 字符"/>
    <w:basedOn w:val="22"/>
    <w:link w:val="11"/>
    <w:semiHidden/>
    <w:qFormat/>
    <w:uiPriority w:val="9"/>
    <w:rPr>
      <w:rFonts w:asciiTheme="majorHAnsi" w:hAnsiTheme="majorHAnsi" w:eastAsiaTheme="majorEastAsia"/>
    </w:rPr>
  </w:style>
  <w:style w:type="character" w:customStyle="1" w:styleId="35">
    <w:name w:val="标题 字符"/>
    <w:basedOn w:val="22"/>
    <w:link w:val="2"/>
    <w:qFormat/>
    <w:uiPriority w:val="10"/>
    <w:rPr>
      <w:rFonts w:asciiTheme="majorHAnsi" w:hAnsiTheme="majorHAnsi" w:eastAsiaTheme="majorEastAsia"/>
      <w:b/>
      <w:bCs/>
      <w:kern w:val="28"/>
      <w:sz w:val="32"/>
      <w:szCs w:val="32"/>
    </w:rPr>
  </w:style>
  <w:style w:type="character" w:customStyle="1" w:styleId="36">
    <w:name w:val="副标题 字符"/>
    <w:basedOn w:val="22"/>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2"/>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2"/>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2"/>
    <w:qFormat/>
    <w:uiPriority w:val="21"/>
    <w:rPr>
      <w:b/>
      <w:i/>
      <w:sz w:val="24"/>
      <w:szCs w:val="24"/>
      <w:u w:val="single"/>
    </w:rPr>
  </w:style>
  <w:style w:type="character" w:customStyle="1" w:styleId="45">
    <w:name w:val="不明显参考1"/>
    <w:basedOn w:val="22"/>
    <w:qFormat/>
    <w:uiPriority w:val="31"/>
    <w:rPr>
      <w:sz w:val="24"/>
      <w:szCs w:val="24"/>
      <w:u w:val="single"/>
    </w:rPr>
  </w:style>
  <w:style w:type="character" w:customStyle="1" w:styleId="46">
    <w:name w:val="明显参考1"/>
    <w:basedOn w:val="22"/>
    <w:qFormat/>
    <w:uiPriority w:val="32"/>
    <w:rPr>
      <w:b/>
      <w:sz w:val="24"/>
      <w:u w:val="single"/>
    </w:rPr>
  </w:style>
  <w:style w:type="character" w:customStyle="1" w:styleId="47">
    <w:name w:val="书籍标题1"/>
    <w:basedOn w:val="22"/>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2"/>
    <w:link w:val="17"/>
    <w:qFormat/>
    <w:uiPriority w:val="99"/>
    <w:rPr>
      <w:rFonts w:ascii="Calibri" w:hAnsi="Calibri" w:eastAsia="宋体"/>
      <w:kern w:val="2"/>
      <w:sz w:val="18"/>
      <w:szCs w:val="18"/>
    </w:rPr>
  </w:style>
  <w:style w:type="character" w:customStyle="1" w:styleId="50">
    <w:name w:val="页脚 字符"/>
    <w:basedOn w:val="22"/>
    <w:link w:val="16"/>
    <w:qFormat/>
    <w:uiPriority w:val="99"/>
    <w:rPr>
      <w:rFonts w:ascii="Calibri" w:hAnsi="Calibri" w:eastAsia="宋体"/>
      <w:kern w:val="2"/>
      <w:sz w:val="18"/>
      <w:szCs w:val="18"/>
    </w:rPr>
  </w:style>
  <w:style w:type="character" w:customStyle="1" w:styleId="51">
    <w:name w:val="批注框文本 字符"/>
    <w:basedOn w:val="22"/>
    <w:link w:val="15"/>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paragraph" w:customStyle="1" w:styleId="5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9472</Words>
  <Characters>9868</Characters>
  <Lines>50</Lines>
  <Paragraphs>14</Paragraphs>
  <TotalTime>9</TotalTime>
  <ScaleCrop>false</ScaleCrop>
  <LinksUpToDate>false</LinksUpToDate>
  <CharactersWithSpaces>9870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2020-07-08T16:35:00Z</dcterms:created>
  <dc:creator>赵 恺（预算处）</dc:creator>
  <cp:lastModifiedBy>久溺深海</cp:lastModifiedBy>
  <cp:lastPrinted>2025-03-14T10:25:00Z</cp:lastPrinted>
  <dcterms:modified xsi:type="dcterms:W3CDTF">2025-08-27T09:02:58Z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845A6D21BC964234918FEDD4E8D3294B_13</vt:lpwstr>
  </property>
  <property fmtid="{D5CDD505-2E9C-101B-9397-08002B2CF9AE}" pid="4" name="KSOSaveFontToCloudKey">
    <vt:lpwstr>0_btnclosed</vt:lpwstr>
  </property>
  <property fmtid="{D5CDD505-2E9C-101B-9397-08002B2CF9AE}" pid="5" name="KSOTemplateDocerSaveRecord">
    <vt:lpwstr>eyJoZGlkIjoiNmZkMjYyYzAxYjhmOGVmYjRhNDdiNWU4MjMwYTAyNjgiLCJ1c2VySWQiOiIyNTIzNDE3MTMifQ==</vt:lpwstr>
  </property>
</Properties>
</file>