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Pr>
        <w:widowControl w:val="0"/>
        <w:bidi w:val="0"/>
        <w:spacing w:line="600" w:lineRule="exact"/>
        <w:ind w:left="0" w:leftChars="0" w:firstLine="0" w:firstLineChars="0"/>
        <w:jc w:val="center"/>
        <w:outlineLvl w:val="0"/>
        <w:rPr>
          <w:rFonts w:hint="eastAsia" w:ascii="Times New Roman" w:hAnsi="Times New Roman" w:eastAsia="方正小标宋简体" w:cs="Arial"/>
          <w:snapToGrid w:val="0"/>
          <w:color w:val="000000"/>
          <w:kern w:val="0"/>
          <w:sz w:val="44"/>
          <w:szCs w:val="21"/>
          <w:lang w:val="en-US" w:eastAsia="zh-CN" w:bidi="ar-SA"/>
        </w:rPr>
      </w:pPr>
      <w:r>
        <w:rPr>
          <w:rFonts w:hint="eastAsia" w:ascii="Times New Roman" w:hAnsi="Times New Roman" w:eastAsia="方正小标宋简体" w:cs="Arial"/>
          <w:snapToGrid w:val="0"/>
          <w:color w:val="000000"/>
          <w:kern w:val="0"/>
          <w:sz w:val="44"/>
          <w:szCs w:val="21"/>
          <w:lang w:val="en-US" w:eastAsia="zh-CN" w:bidi="ar-SA"/>
        </w:rPr>
        <w:t>自治区中小企业发展专项资金（本级）</w:t>
      </w:r>
    </w:p>
    <w:p>
      <w:pPr>
        <w:widowControl w:val="0"/>
        <w:bidi w:val="0"/>
        <w:spacing w:line="600" w:lineRule="exact"/>
        <w:ind w:left="0" w:leftChars="0" w:firstLine="0" w:firstLineChars="0"/>
        <w:jc w:val="center"/>
        <w:outlineLvl w:val="0"/>
        <w:rPr>
          <w:rFonts w:hint="eastAsia" w:ascii="Times New Roman" w:hAnsi="Times New Roman" w:eastAsia="方正小标宋简体" w:cs="Arial"/>
          <w:snapToGrid w:val="0"/>
          <w:color w:val="000000"/>
          <w:kern w:val="0"/>
          <w:sz w:val="44"/>
          <w:szCs w:val="21"/>
          <w:lang w:val="en-US" w:eastAsia="zh-CN" w:bidi="ar-SA"/>
        </w:rPr>
      </w:pPr>
      <w:r>
        <w:rPr>
          <w:rFonts w:hint="eastAsia" w:ascii="Times New Roman" w:hAnsi="Times New Roman" w:eastAsia="方正小标宋简体" w:cs="Arial"/>
          <w:snapToGrid w:val="0"/>
          <w:color w:val="000000"/>
          <w:kern w:val="0"/>
          <w:sz w:val="44"/>
          <w:szCs w:val="21"/>
          <w:lang w:val="en-US" w:eastAsia="zh-CN" w:bidi="ar-SA"/>
        </w:rPr>
        <w:t>绩效自评报告</w:t>
      </w:r>
    </w:p>
    <w:p>
      <w:pPr>
        <w:widowControl w:val="0"/>
        <w:bidi w:val="0"/>
        <w:spacing w:line="600" w:lineRule="exact"/>
        <w:ind w:left="0" w:leftChars="0" w:firstLine="0" w:firstLineChars="0"/>
        <w:jc w:val="center"/>
        <w:outlineLvl w:val="0"/>
        <w:rPr>
          <w:rFonts w:hint="eastAsia" w:ascii="Times New Roman" w:hAnsi="Times New Roman" w:eastAsia="方正小标宋简体" w:cs="Arial"/>
          <w:snapToGrid w:val="0"/>
          <w:color w:val="000000"/>
          <w:kern w:val="0"/>
          <w:sz w:val="44"/>
          <w:szCs w:val="21"/>
          <w:lang w:val="en-US" w:eastAsia="zh-CN" w:bidi="ar-SA"/>
        </w:rPr>
      </w:pPr>
      <w:r>
        <w:rPr>
          <w:rFonts w:hint="eastAsia" w:ascii="Times New Roman" w:hAnsi="Times New Roman" w:eastAsia="方正小标宋简体" w:cs="Arial"/>
          <w:snapToGrid w:val="0"/>
          <w:color w:val="000000"/>
          <w:kern w:val="0"/>
          <w:sz w:val="44"/>
          <w:szCs w:val="21"/>
          <w:lang w:val="en-US" w:eastAsia="zh-CN" w:bidi="ar-SA"/>
        </w:rPr>
        <w:t>（2024年度）</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keepNext w:val="0"/>
        <w:keepLines w:val="0"/>
        <w:pageBreakBefore w:val="0"/>
        <w:widowControl w:val="0"/>
        <w:kinsoku/>
        <w:wordWrap/>
        <w:overflowPunct/>
        <w:topLinePunct w:val="0"/>
        <w:autoSpaceDE/>
        <w:autoSpaceDN/>
        <w:bidi w:val="0"/>
        <w:adjustRightInd/>
        <w:snapToGrid/>
        <w:spacing w:line="700" w:lineRule="exact"/>
        <w:ind w:firstLine="0" w:firstLineChars="0"/>
        <w:textAlignment w:val="auto"/>
        <w:rPr>
          <w:rFonts w:hint="eastAsia" w:eastAsia="黑体"/>
          <w:sz w:val="32"/>
          <w:lang w:val="en-US" w:eastAsia="zh-CN"/>
        </w:rPr>
      </w:pPr>
      <w:r>
        <w:rPr>
          <w:rFonts w:hint="eastAsia" w:eastAsia="黑体"/>
          <w:sz w:val="32"/>
          <w:lang w:val="en-US" w:eastAsia="zh-CN"/>
        </w:rPr>
        <w:t>项目名称：2024年度自治区中小企业发展专项资金（本级）</w:t>
      </w:r>
    </w:p>
    <w:p>
      <w:pPr>
        <w:keepNext w:val="0"/>
        <w:keepLines w:val="0"/>
        <w:pageBreakBefore w:val="0"/>
        <w:widowControl w:val="0"/>
        <w:kinsoku/>
        <w:wordWrap/>
        <w:overflowPunct/>
        <w:topLinePunct w:val="0"/>
        <w:autoSpaceDE/>
        <w:autoSpaceDN/>
        <w:bidi w:val="0"/>
        <w:adjustRightInd/>
        <w:snapToGrid/>
        <w:spacing w:line="700" w:lineRule="exact"/>
        <w:ind w:firstLine="0" w:firstLineChars="0"/>
        <w:textAlignment w:val="auto"/>
        <w:rPr>
          <w:rFonts w:hint="eastAsia" w:eastAsia="黑体"/>
          <w:sz w:val="32"/>
          <w:lang w:val="en-US" w:eastAsia="zh-CN"/>
        </w:rPr>
      </w:pPr>
      <w:r>
        <w:rPr>
          <w:rFonts w:hint="eastAsia" w:eastAsia="黑体"/>
          <w:sz w:val="32"/>
          <w:lang w:val="en-US" w:eastAsia="zh-CN"/>
        </w:rPr>
        <w:t>实施单位：新疆维吾尔自治区工业和信息化厅</w:t>
      </w:r>
    </w:p>
    <w:p>
      <w:pPr>
        <w:keepNext w:val="0"/>
        <w:keepLines w:val="0"/>
        <w:pageBreakBefore w:val="0"/>
        <w:widowControl w:val="0"/>
        <w:kinsoku/>
        <w:wordWrap/>
        <w:overflowPunct/>
        <w:topLinePunct w:val="0"/>
        <w:autoSpaceDE/>
        <w:autoSpaceDN/>
        <w:bidi w:val="0"/>
        <w:adjustRightInd/>
        <w:snapToGrid/>
        <w:spacing w:line="700" w:lineRule="exact"/>
        <w:ind w:firstLine="0" w:firstLineChars="0"/>
        <w:textAlignment w:val="auto"/>
        <w:rPr>
          <w:rFonts w:hint="eastAsia" w:eastAsia="黑体"/>
          <w:sz w:val="32"/>
          <w:lang w:val="en-US" w:eastAsia="zh-CN"/>
        </w:rPr>
      </w:pPr>
      <w:r>
        <w:rPr>
          <w:rFonts w:hint="eastAsia" w:eastAsia="黑体"/>
          <w:sz w:val="32"/>
          <w:lang w:val="en-US" w:eastAsia="zh-CN"/>
        </w:rPr>
        <w:t>项目负责人（签章）：张华</w:t>
      </w:r>
    </w:p>
    <w:p>
      <w:pPr>
        <w:keepNext w:val="0"/>
        <w:keepLines w:val="0"/>
        <w:pageBreakBefore w:val="0"/>
        <w:widowControl w:val="0"/>
        <w:kinsoku/>
        <w:wordWrap/>
        <w:overflowPunct/>
        <w:topLinePunct w:val="0"/>
        <w:autoSpaceDE/>
        <w:autoSpaceDN/>
        <w:bidi w:val="0"/>
        <w:adjustRightInd/>
        <w:snapToGrid/>
        <w:spacing w:line="700" w:lineRule="exact"/>
        <w:ind w:firstLine="0" w:firstLineChars="0"/>
        <w:textAlignment w:val="auto"/>
        <w:rPr>
          <w:rFonts w:hint="eastAsia" w:eastAsia="黑体"/>
          <w:sz w:val="32"/>
          <w:lang w:val="en-US" w:eastAsia="zh-CN"/>
        </w:rPr>
        <w:sectPr>
          <w:pgSz w:w="11906" w:h="16838"/>
          <w:pgMar w:top="2098" w:right="1474" w:bottom="1984" w:left="1587" w:header="851" w:footer="992" w:gutter="0"/>
          <w:cols w:space="425" w:num="1"/>
          <w:docGrid w:type="lines" w:linePitch="312" w:charSpace="0"/>
        </w:sectPr>
      </w:pPr>
      <w:r>
        <w:rPr>
          <w:rFonts w:hint="eastAsia" w:eastAsia="黑体"/>
          <w:sz w:val="32"/>
          <w:lang w:val="en-US" w:eastAsia="zh-CN"/>
        </w:rPr>
        <w:t>填报时间：2025年3月3日</w:t>
      </w:r>
    </w:p>
    <w:p>
      <w:pPr>
        <w:widowControl w:val="0"/>
        <w:bidi w:val="0"/>
        <w:spacing w:line="600" w:lineRule="exact"/>
        <w:ind w:left="0" w:leftChars="0" w:firstLine="0" w:firstLineChars="0"/>
        <w:jc w:val="center"/>
        <w:outlineLvl w:val="0"/>
        <w:rPr>
          <w:rFonts w:hint="eastAsia" w:ascii="Times New Roman" w:hAnsi="Times New Roman" w:eastAsia="方正小标宋简体" w:cs="Arial"/>
          <w:snapToGrid w:val="0"/>
          <w:color w:val="000000"/>
          <w:w w:val="98"/>
          <w:kern w:val="0"/>
          <w:sz w:val="44"/>
          <w:szCs w:val="44"/>
          <w:lang w:val="en-US" w:eastAsia="zh-CN" w:bidi="ar-SA"/>
        </w:rPr>
      </w:pPr>
      <w:r>
        <w:rPr>
          <w:rFonts w:hint="eastAsia" w:ascii="Times New Roman" w:hAnsi="Times New Roman" w:eastAsia="方正小标宋简体" w:cs="Arial"/>
          <w:snapToGrid w:val="0"/>
          <w:color w:val="000000"/>
          <w:w w:val="98"/>
          <w:kern w:val="0"/>
          <w:sz w:val="44"/>
          <w:szCs w:val="44"/>
          <w:lang w:val="en-US" w:eastAsia="zh-CN" w:bidi="ar-SA"/>
        </w:rPr>
        <w:t>新疆维吾尔自治区中小企业发展专项资金（本级）</w:t>
      </w:r>
    </w:p>
    <w:p>
      <w:pPr>
        <w:widowControl w:val="0"/>
        <w:bidi w:val="0"/>
        <w:spacing w:line="600" w:lineRule="exact"/>
        <w:ind w:left="0" w:leftChars="0" w:firstLine="0" w:firstLineChars="0"/>
        <w:jc w:val="center"/>
        <w:outlineLvl w:val="0"/>
        <w:rPr>
          <w:rFonts w:hint="default" w:ascii="Times New Roman" w:hAnsi="Times New Roman" w:eastAsia="方正小标宋简体" w:cs="Arial"/>
          <w:snapToGrid w:val="0"/>
          <w:color w:val="000000"/>
          <w:kern w:val="0"/>
          <w:sz w:val="44"/>
          <w:szCs w:val="44"/>
          <w:lang w:val="en-US" w:eastAsia="zh-CN" w:bidi="ar-SA"/>
        </w:rPr>
      </w:pPr>
      <w:r>
        <w:rPr>
          <w:rFonts w:hint="eastAsia" w:ascii="Times New Roman" w:hAnsi="Times New Roman" w:eastAsia="方正小标宋简体" w:cs="Arial"/>
          <w:snapToGrid w:val="0"/>
          <w:color w:val="000000"/>
          <w:kern w:val="0"/>
          <w:sz w:val="44"/>
          <w:szCs w:val="44"/>
          <w:lang w:val="en-US" w:eastAsia="zh-CN" w:bidi="ar-SA"/>
        </w:rPr>
        <w:t>2024年度绩效自评报告</w:t>
      </w:r>
    </w:p>
    <w:p>
      <w:pPr>
        <w:bidi w:val="0"/>
      </w:pPr>
    </w:p>
    <w:p>
      <w:pPr>
        <w:rPr>
          <w:rFonts w:hint="default"/>
          <w:lang w:val="en-US" w:eastAsia="zh-CN"/>
        </w:rPr>
      </w:pPr>
      <w:r>
        <w:rPr>
          <w:rFonts w:hint="eastAsia" w:ascii="Times New Roman" w:eastAsia="仿宋_GB2312"/>
          <w:lang w:val="en-US" w:eastAsia="zh-CN"/>
        </w:rPr>
        <w:t>为</w:t>
      </w:r>
      <w:r>
        <w:rPr>
          <w:rFonts w:hint="default"/>
          <w:lang w:val="en-US" w:eastAsia="zh-CN"/>
        </w:rPr>
        <w:t>贯彻落实</w:t>
      </w:r>
      <w:r>
        <w:rPr>
          <w:rFonts w:hint="eastAsia" w:ascii="Times New Roman" w:eastAsia="仿宋_GB2312"/>
          <w:lang w:val="en-US" w:eastAsia="zh-CN"/>
        </w:rPr>
        <w:t>《中共中央 国务院关于全面实施预算绩效管理的意见》（中发</w:t>
      </w:r>
      <w:r>
        <w:rPr>
          <w:rFonts w:hint="eastAsia" w:ascii="仿宋_GB2312" w:hAnsi="仿宋_GB2312" w:eastAsia="仿宋_GB2312" w:cs="仿宋_GB2312"/>
          <w:lang w:val="en-US" w:eastAsia="zh-CN"/>
        </w:rPr>
        <w:t>〔</w:t>
      </w:r>
      <w:r>
        <w:rPr>
          <w:rFonts w:hint="eastAsia" w:ascii="仿宋_GB2312" w:hAnsi="仿宋_GB2312" w:cs="仿宋_GB2312"/>
          <w:lang w:val="en-US" w:eastAsia="zh-CN"/>
        </w:rPr>
        <w:t>2018</w:t>
      </w:r>
      <w:r>
        <w:rPr>
          <w:rFonts w:hint="eastAsia" w:ascii="仿宋_GB2312" w:hAnsi="仿宋_GB2312" w:eastAsia="仿宋_GB2312" w:cs="仿宋_GB2312"/>
          <w:lang w:val="en-US" w:eastAsia="zh-CN"/>
        </w:rPr>
        <w:t>〕</w:t>
      </w:r>
      <w:r>
        <w:rPr>
          <w:rFonts w:hint="eastAsia" w:ascii="仿宋_GB2312" w:hAnsi="仿宋_GB2312" w:cs="仿宋_GB2312"/>
          <w:lang w:val="en-US" w:eastAsia="zh-CN"/>
        </w:rPr>
        <w:t>34号</w:t>
      </w:r>
      <w:r>
        <w:rPr>
          <w:rFonts w:hint="eastAsia" w:ascii="Times New Roman" w:eastAsia="仿宋_GB2312"/>
          <w:lang w:val="en-US" w:eastAsia="zh-CN"/>
        </w:rPr>
        <w:t>）的决策部署和自治区党委、人民政府工作要求，</w:t>
      </w:r>
      <w:r>
        <w:rPr>
          <w:rFonts w:hint="default"/>
          <w:lang w:val="en-US" w:eastAsia="zh-CN"/>
        </w:rPr>
        <w:t>根据</w:t>
      </w:r>
      <w:r>
        <w:rPr>
          <w:rFonts w:hint="eastAsia" w:ascii="Times New Roman" w:eastAsia="仿宋_GB2312"/>
          <w:lang w:val="en-US" w:eastAsia="zh-CN"/>
        </w:rPr>
        <w:t>财政部《项目支出绩效评价管理办法》（财预</w:t>
      </w:r>
      <w:r>
        <w:rPr>
          <w:rFonts w:hint="eastAsia" w:ascii="仿宋_GB2312" w:hAnsi="仿宋_GB2312" w:eastAsia="仿宋_GB2312" w:cs="仿宋_GB2312"/>
          <w:lang w:val="en-US" w:eastAsia="zh-CN"/>
        </w:rPr>
        <w:t>〔</w:t>
      </w:r>
      <w:r>
        <w:rPr>
          <w:rFonts w:hint="eastAsia" w:ascii="仿宋_GB2312" w:hAnsi="仿宋_GB2312" w:cs="仿宋_GB2312"/>
          <w:lang w:val="en-US" w:eastAsia="zh-CN"/>
        </w:rPr>
        <w:t>2020</w:t>
      </w:r>
      <w:r>
        <w:rPr>
          <w:rFonts w:hint="eastAsia" w:ascii="仿宋_GB2312" w:hAnsi="仿宋_GB2312" w:eastAsia="仿宋_GB2312" w:cs="仿宋_GB2312"/>
          <w:lang w:val="en-US" w:eastAsia="zh-CN"/>
        </w:rPr>
        <w:t>〕</w:t>
      </w:r>
      <w:r>
        <w:rPr>
          <w:rFonts w:hint="eastAsia" w:ascii="仿宋_GB2312" w:hAnsi="仿宋_GB2312" w:cs="仿宋_GB2312"/>
          <w:lang w:val="en-US" w:eastAsia="zh-CN"/>
        </w:rPr>
        <w:t>10号</w:t>
      </w:r>
      <w:r>
        <w:rPr>
          <w:rFonts w:hint="eastAsia" w:ascii="Times New Roman" w:eastAsia="仿宋_GB2312"/>
          <w:lang w:val="en-US" w:eastAsia="zh-CN"/>
        </w:rPr>
        <w:t>）规定</w:t>
      </w:r>
      <w:r>
        <w:rPr>
          <w:rFonts w:hint="default"/>
          <w:lang w:val="en-US" w:eastAsia="zh-CN"/>
        </w:rPr>
        <w:t>，新疆维吾尔自治区财政厅、工业和信息化厅高度重视，严格按要求规范开展了202</w:t>
      </w:r>
      <w:r>
        <w:rPr>
          <w:rFonts w:hint="eastAsia" w:ascii="Times New Roman" w:eastAsia="仿宋_GB2312"/>
          <w:lang w:val="en-US" w:eastAsia="zh-CN"/>
        </w:rPr>
        <w:t>4</w:t>
      </w:r>
      <w:r>
        <w:rPr>
          <w:rFonts w:hint="default"/>
          <w:lang w:val="en-US" w:eastAsia="zh-CN"/>
        </w:rPr>
        <w:t>年度自治区中小企业发展专项资金</w:t>
      </w:r>
      <w:r>
        <w:rPr>
          <w:rFonts w:hint="eastAsia"/>
          <w:lang w:val="en-US" w:eastAsia="zh-CN"/>
        </w:rPr>
        <w:t>（本级）</w:t>
      </w:r>
      <w:r>
        <w:rPr>
          <w:rFonts w:hint="default"/>
          <w:lang w:val="en-US" w:eastAsia="zh-CN"/>
        </w:rPr>
        <w:t>绩效自评工作，现将自评情况报告如下：</w:t>
      </w:r>
    </w:p>
    <w:p>
      <w:pPr>
        <w:keepNext/>
        <w:widowControl w:val="0"/>
        <w:kinsoku w:val="0"/>
        <w:autoSpaceDE/>
        <w:autoSpaceDN/>
        <w:bidi w:val="0"/>
        <w:adjustRightInd w:val="0"/>
        <w:snapToGrid w:val="0"/>
        <w:spacing w:line="600" w:lineRule="exact"/>
        <w:ind w:firstLine="640" w:firstLineChars="200"/>
        <w:jc w:val="both"/>
        <w:textAlignment w:val="baseline"/>
        <w:outlineLvl w:val="1"/>
        <w:rPr>
          <w:rFonts w:hint="default" w:ascii="Times New Roman" w:hAnsi="Times New Roman" w:eastAsia="黑体" w:cs="Times New Roman"/>
          <w:bCs/>
          <w:iCs/>
          <w:snapToGrid w:val="0"/>
          <w:color w:val="auto"/>
          <w:kern w:val="0"/>
          <w:sz w:val="32"/>
          <w:szCs w:val="36"/>
          <w:highlight w:val="none"/>
          <w:lang w:val="en-US" w:eastAsia="zh-CN" w:bidi="ar-SA"/>
        </w:rPr>
      </w:pPr>
      <w:r>
        <w:rPr>
          <w:rFonts w:hint="eastAsia" w:ascii="Times New Roman" w:hAnsi="Times New Roman" w:eastAsia="黑体" w:cs="Times New Roman"/>
          <w:bCs/>
          <w:iCs/>
          <w:snapToGrid w:val="0"/>
          <w:color w:val="auto"/>
          <w:kern w:val="0"/>
          <w:sz w:val="32"/>
          <w:szCs w:val="36"/>
          <w:highlight w:val="none"/>
          <w:lang w:val="en-US" w:eastAsia="zh-CN" w:bidi="ar-SA"/>
        </w:rPr>
        <w:t>一、绩效目标分解下达情况</w:t>
      </w:r>
    </w:p>
    <w:p>
      <w:pPr>
        <w:keepNext/>
        <w:widowControl w:val="0"/>
        <w:kinsoku w:val="0"/>
        <w:autoSpaceDE/>
        <w:autoSpaceDN/>
        <w:bidi w:val="0"/>
        <w:adjustRightInd w:val="0"/>
        <w:snapToGrid w:val="0"/>
        <w:spacing w:line="560" w:lineRule="exact"/>
        <w:ind w:firstLine="640" w:firstLineChars="200"/>
        <w:jc w:val="both"/>
        <w:textAlignment w:val="baseline"/>
        <w:outlineLvl w:val="2"/>
        <w:rPr>
          <w:rFonts w:hint="eastAsia" w:ascii="Times New Roman" w:hAnsi="Times New Roman" w:eastAsia="方正楷体_GB2312" w:cs="Times New Roman"/>
          <w:bCs/>
          <w:snapToGrid w:val="0"/>
          <w:color w:val="auto"/>
          <w:kern w:val="0"/>
          <w:sz w:val="32"/>
          <w:szCs w:val="28"/>
          <w:highlight w:val="none"/>
          <w:lang w:val="en-US" w:eastAsia="zh-CN" w:bidi="ar-SA"/>
        </w:rPr>
      </w:pPr>
      <w:r>
        <w:rPr>
          <w:rFonts w:hint="eastAsia" w:ascii="Times New Roman" w:hAnsi="Times New Roman" w:eastAsia="方正楷体_GB2312" w:cs="Times New Roman"/>
          <w:bCs/>
          <w:snapToGrid w:val="0"/>
          <w:color w:val="auto"/>
          <w:kern w:val="0"/>
          <w:sz w:val="32"/>
          <w:szCs w:val="28"/>
          <w:highlight w:val="none"/>
          <w:lang w:val="en-US" w:eastAsia="zh-CN" w:bidi="ar-SA"/>
        </w:rPr>
        <w:t>（一）自治区下达专项转移支付预算和绩效目标情况</w:t>
      </w:r>
    </w:p>
    <w:p>
      <w:pPr>
        <w:keepNext/>
        <w:widowControl w:val="0"/>
        <w:kinsoku w:val="0"/>
        <w:autoSpaceDE/>
        <w:autoSpaceDN/>
        <w:bidi w:val="0"/>
        <w:adjustRightInd w:val="0"/>
        <w:snapToGrid w:val="0"/>
        <w:spacing w:line="560" w:lineRule="atLeast"/>
        <w:ind w:firstLine="642" w:firstLineChars="200"/>
        <w:jc w:val="both"/>
        <w:textAlignment w:val="baseline"/>
        <w:outlineLvl w:val="3"/>
        <w:rPr>
          <w:rFonts w:hint="default" w:ascii="Times New Roman" w:hAnsi="Times New Roman" w:eastAsia="仿宋_GB2312" w:cs="Times New Roman"/>
          <w:b/>
          <w:bCs/>
          <w:snapToGrid w:val="0"/>
          <w:color w:val="auto"/>
          <w:kern w:val="0"/>
          <w:sz w:val="32"/>
          <w:szCs w:val="24"/>
          <w:highlight w:val="none"/>
          <w:lang w:val="en-US" w:eastAsia="zh-CN" w:bidi="ar-SA"/>
        </w:rPr>
      </w:pPr>
      <w:r>
        <w:rPr>
          <w:rFonts w:hint="eastAsia" w:ascii="Times New Roman" w:hAnsi="Times New Roman" w:eastAsia="仿宋_GB2312" w:cs="Times New Roman"/>
          <w:b/>
          <w:bCs/>
          <w:snapToGrid w:val="0"/>
          <w:color w:val="auto"/>
          <w:kern w:val="0"/>
          <w:sz w:val="32"/>
          <w:szCs w:val="24"/>
          <w:highlight w:val="none"/>
          <w:lang w:val="en-US" w:eastAsia="zh-CN" w:bidi="ar-SA"/>
        </w:rPr>
        <w:t>1.下达预算情况</w:t>
      </w:r>
    </w:p>
    <w:p>
      <w:pPr>
        <w:kinsoku w:val="0"/>
        <w:autoSpaceDE/>
        <w:autoSpaceDN/>
        <w:bidi w:val="0"/>
        <w:adjustRightInd w:val="0"/>
        <w:snapToGrid w:val="0"/>
        <w:ind w:firstLine="720"/>
        <w:textAlignment w:val="baseline"/>
        <w:rPr>
          <w:rFonts w:hint="eastAsia" w:ascii="Times New Roman" w:hAnsi="Times New Roman" w:cs="Arial"/>
          <w:snapToGrid w:val="0"/>
          <w:color w:val="auto"/>
          <w:kern w:val="0"/>
          <w:szCs w:val="21"/>
          <w:highlight w:val="none"/>
        </w:rPr>
      </w:pPr>
      <w:r>
        <w:rPr>
          <w:rFonts w:hint="eastAsia" w:cs="Arial"/>
          <w:snapToGrid w:val="0"/>
          <w:color w:val="auto"/>
          <w:kern w:val="0"/>
          <w:szCs w:val="21"/>
          <w:highlight w:val="none"/>
        </w:rPr>
        <w:t>202</w:t>
      </w:r>
      <w:r>
        <w:rPr>
          <w:rFonts w:hint="eastAsia" w:cs="Arial"/>
          <w:snapToGrid w:val="0"/>
          <w:color w:val="auto"/>
          <w:kern w:val="0"/>
          <w:szCs w:val="21"/>
          <w:highlight w:val="none"/>
          <w:lang w:val="en-US" w:eastAsia="zh-CN"/>
        </w:rPr>
        <w:t>4</w:t>
      </w:r>
      <w:r>
        <w:rPr>
          <w:rFonts w:hint="eastAsia" w:cs="Arial"/>
          <w:snapToGrid w:val="0"/>
          <w:color w:val="auto"/>
          <w:kern w:val="0"/>
          <w:szCs w:val="21"/>
          <w:highlight w:val="none"/>
        </w:rPr>
        <w:t>年，</w:t>
      </w:r>
      <w:r>
        <w:rPr>
          <w:rFonts w:hint="eastAsia" w:cs="Arial"/>
          <w:snapToGrid w:val="0"/>
          <w:color w:val="auto"/>
          <w:kern w:val="0"/>
          <w:szCs w:val="21"/>
          <w:highlight w:val="none"/>
          <w:lang w:val="en-US" w:eastAsia="zh-CN"/>
        </w:rPr>
        <w:t>安排自治区中小企业发展专项资金（本级）6450万元，主要用于推动中小企业高质量发展。其中，安排</w:t>
      </w:r>
      <w:r>
        <w:rPr>
          <w:rFonts w:hint="eastAsia" w:ascii="Times New Roman" w:hAnsi="Times New Roman" w:cs="Arial"/>
          <w:snapToGrid w:val="0"/>
          <w:color w:val="auto"/>
          <w:kern w:val="0"/>
          <w:szCs w:val="21"/>
          <w:highlight w:val="none"/>
        </w:rPr>
        <w:t>自治区工信厅机关</w:t>
      </w:r>
      <w:r>
        <w:rPr>
          <w:rFonts w:hint="eastAsia" w:cs="Arial"/>
          <w:snapToGrid w:val="0"/>
          <w:color w:val="auto"/>
          <w:kern w:val="0"/>
          <w:szCs w:val="21"/>
          <w:highlight w:val="none"/>
          <w:lang w:val="en-US" w:eastAsia="zh-CN"/>
        </w:rPr>
        <w:t>6200</w:t>
      </w:r>
      <w:r>
        <w:rPr>
          <w:rFonts w:hint="eastAsia" w:ascii="Times New Roman" w:hAnsi="Times New Roman" w:cs="Arial"/>
          <w:snapToGrid w:val="0"/>
          <w:color w:val="auto"/>
          <w:kern w:val="0"/>
          <w:szCs w:val="21"/>
          <w:highlight w:val="none"/>
        </w:rPr>
        <w:t>万元</w:t>
      </w:r>
      <w:r>
        <w:rPr>
          <w:rFonts w:hint="eastAsia" w:cs="Arial"/>
          <w:snapToGrid w:val="0"/>
          <w:color w:val="auto"/>
          <w:kern w:val="0"/>
          <w:szCs w:val="21"/>
          <w:highlight w:val="none"/>
          <w:lang w:eastAsia="zh-CN"/>
        </w:rPr>
        <w:t>，</w:t>
      </w:r>
      <w:r>
        <w:rPr>
          <w:rFonts w:hint="eastAsia" w:ascii="Times New Roman" w:hAnsi="Times New Roman" w:cs="Arial"/>
          <w:snapToGrid w:val="0"/>
          <w:color w:val="auto"/>
          <w:kern w:val="0"/>
          <w:szCs w:val="21"/>
          <w:highlight w:val="none"/>
          <w:lang w:eastAsia="zh-CN"/>
        </w:rPr>
        <w:t>安排自治区中小企业服务中心250万元</w:t>
      </w:r>
      <w:r>
        <w:rPr>
          <w:rFonts w:hint="eastAsia" w:ascii="Times New Roman" w:hAnsi="Times New Roman" w:cs="Arial"/>
          <w:snapToGrid w:val="0"/>
          <w:color w:val="auto"/>
          <w:kern w:val="0"/>
          <w:szCs w:val="21"/>
          <w:highlight w:val="none"/>
        </w:rPr>
        <w:t>。</w:t>
      </w:r>
    </w:p>
    <w:p>
      <w:pPr>
        <w:keepNext/>
        <w:widowControl w:val="0"/>
        <w:kinsoku w:val="0"/>
        <w:autoSpaceDE/>
        <w:autoSpaceDN/>
        <w:bidi w:val="0"/>
        <w:adjustRightInd w:val="0"/>
        <w:snapToGrid w:val="0"/>
        <w:spacing w:line="560" w:lineRule="atLeast"/>
        <w:ind w:firstLine="642" w:firstLineChars="200"/>
        <w:jc w:val="both"/>
        <w:textAlignment w:val="baseline"/>
        <w:outlineLvl w:val="3"/>
        <w:rPr>
          <w:rFonts w:hint="default" w:ascii="Times New Roman" w:hAnsi="Times New Roman" w:eastAsia="仿宋_GB2312" w:cs="Times New Roman"/>
          <w:b/>
          <w:bCs/>
          <w:snapToGrid w:val="0"/>
          <w:color w:val="auto"/>
          <w:kern w:val="0"/>
          <w:sz w:val="32"/>
          <w:szCs w:val="24"/>
          <w:highlight w:val="none"/>
          <w:lang w:val="en-US" w:eastAsia="zh-CN" w:bidi="ar-SA"/>
        </w:rPr>
      </w:pPr>
      <w:r>
        <w:rPr>
          <w:rFonts w:hint="eastAsia" w:ascii="Times New Roman" w:hAnsi="Times New Roman" w:eastAsia="仿宋_GB2312" w:cs="Times New Roman"/>
          <w:b/>
          <w:bCs/>
          <w:snapToGrid w:val="0"/>
          <w:color w:val="auto"/>
          <w:kern w:val="0"/>
          <w:sz w:val="32"/>
          <w:szCs w:val="24"/>
          <w:highlight w:val="none"/>
          <w:lang w:val="en-US" w:eastAsia="zh-CN" w:bidi="ar-SA"/>
        </w:rPr>
        <w:t>2.下达绩效目标情况</w:t>
      </w:r>
    </w:p>
    <w:p>
      <w:pPr>
        <w:bidi w:val="0"/>
      </w:pPr>
      <w:r>
        <w:rPr>
          <w:rFonts w:hint="eastAsia"/>
        </w:rPr>
        <w:t>自治区工信厅制定新疆区域绩效目标表，具体绩效目标如下表：</w:t>
      </w:r>
    </w:p>
    <w:p>
      <w:pPr>
        <w:keepNext w:val="0"/>
        <w:keepLines w:val="0"/>
        <w:pageBreakBefore w:val="0"/>
        <w:widowControl w:val="0"/>
        <w:kinsoku w:val="0"/>
        <w:wordWrap/>
        <w:overflowPunct/>
        <w:topLinePunct w:val="0"/>
        <w:autoSpaceDE/>
        <w:autoSpaceDN/>
        <w:bidi w:val="0"/>
        <w:adjustRightInd w:val="0"/>
        <w:snapToGrid w:val="0"/>
        <w:spacing w:line="440" w:lineRule="exact"/>
        <w:ind w:firstLine="0" w:firstLineChars="0"/>
        <w:jc w:val="center"/>
        <w:textAlignment w:val="baseline"/>
        <w:rPr>
          <w:rFonts w:hint="default" w:ascii="Times New Roman" w:hAnsi="Times New Roman" w:eastAsia="黑体" w:cs="Arial"/>
          <w:snapToGrid w:val="0"/>
          <w:color w:val="auto"/>
          <w:w w:val="100"/>
          <w:kern w:val="0"/>
          <w:sz w:val="30"/>
          <w:szCs w:val="30"/>
          <w:highlight w:val="none"/>
          <w:lang w:val="en-US" w:eastAsia="zh-CN"/>
        </w:rPr>
      </w:pPr>
      <w:r>
        <w:rPr>
          <w:rFonts w:hint="eastAsia" w:ascii="Times New Roman" w:hAnsi="Times New Roman" w:eastAsia="黑体" w:cs="Arial"/>
          <w:snapToGrid w:val="0"/>
          <w:color w:val="auto"/>
          <w:w w:val="100"/>
          <w:kern w:val="0"/>
          <w:sz w:val="30"/>
          <w:szCs w:val="30"/>
          <w:highlight w:val="none"/>
          <w:lang w:val="en-US" w:eastAsia="zh-CN"/>
        </w:rPr>
        <w:t>项目支出绩效目标表</w:t>
      </w:r>
    </w:p>
    <w:p>
      <w:pPr>
        <w:keepNext w:val="0"/>
        <w:keepLines w:val="0"/>
        <w:pageBreakBefore w:val="0"/>
        <w:widowControl w:val="0"/>
        <w:kinsoku w:val="0"/>
        <w:wordWrap/>
        <w:overflowPunct/>
        <w:topLinePunct w:val="0"/>
        <w:autoSpaceDE/>
        <w:autoSpaceDN/>
        <w:bidi w:val="0"/>
        <w:adjustRightInd w:val="0"/>
        <w:snapToGrid w:val="0"/>
        <w:spacing w:line="440" w:lineRule="exact"/>
        <w:ind w:firstLine="0" w:firstLineChars="0"/>
        <w:jc w:val="center"/>
        <w:textAlignment w:val="baseline"/>
        <w:rPr>
          <w:rFonts w:hint="eastAsia" w:ascii="Times New Roman" w:hAnsi="Times New Roman" w:eastAsia="黑体" w:cs="Arial"/>
          <w:snapToGrid w:val="0"/>
          <w:color w:val="auto"/>
          <w:w w:val="100"/>
          <w:kern w:val="0"/>
          <w:sz w:val="30"/>
          <w:szCs w:val="30"/>
          <w:highlight w:val="none"/>
          <w:lang w:val="en-US" w:eastAsia="zh-CN"/>
        </w:rPr>
      </w:pPr>
      <w:r>
        <w:rPr>
          <w:rFonts w:hint="eastAsia" w:ascii="Times New Roman" w:hAnsi="Times New Roman" w:eastAsia="黑体" w:cs="Arial"/>
          <w:snapToGrid w:val="0"/>
          <w:color w:val="auto"/>
          <w:w w:val="100"/>
          <w:kern w:val="0"/>
          <w:sz w:val="30"/>
          <w:szCs w:val="30"/>
          <w:highlight w:val="none"/>
          <w:lang w:val="en-US" w:eastAsia="zh-CN"/>
        </w:rPr>
        <w:t>（2024年度）</w:t>
      </w:r>
    </w:p>
    <w:tbl>
      <w:tblPr>
        <w:tblStyle w:val="2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88"/>
        <w:gridCol w:w="971"/>
        <w:gridCol w:w="1857"/>
        <w:gridCol w:w="1125"/>
        <w:gridCol w:w="784"/>
        <w:gridCol w:w="1051"/>
        <w:gridCol w:w="461"/>
        <w:gridCol w:w="255"/>
        <w:gridCol w:w="16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26" w:type="pct"/>
            <w:gridSpan w:val="2"/>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bCs/>
                <w:i w:val="0"/>
                <w:iCs w:val="0"/>
                <w:snapToGrid w:val="0"/>
                <w:color w:val="000000"/>
                <w:kern w:val="0"/>
                <w:sz w:val="20"/>
                <w:szCs w:val="18"/>
                <w:u w:val="none"/>
              </w:rPr>
            </w:pPr>
            <w:r>
              <w:rPr>
                <w:rFonts w:hint="eastAsia" w:ascii="Times New Roman" w:hAnsi="Times New Roman" w:eastAsia="宋体" w:cs="宋体"/>
                <w:b w:val="0"/>
                <w:bCs/>
                <w:i w:val="0"/>
                <w:iCs w:val="0"/>
                <w:snapToGrid w:val="0"/>
                <w:color w:val="000000"/>
                <w:kern w:val="0"/>
                <w:sz w:val="20"/>
                <w:szCs w:val="18"/>
                <w:u w:val="none"/>
                <w:lang w:val="en-US" w:eastAsia="zh-CN" w:bidi="ar"/>
              </w:rPr>
              <w:t>预算单位</w:t>
            </w:r>
          </w:p>
        </w:tc>
        <w:tc>
          <w:tcPr>
            <w:tcW w:w="3973" w:type="pct"/>
            <w:gridSpan w:val="7"/>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新疆维吾尔自治区工业和信息化厅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1026" w:type="pct"/>
            <w:gridSpan w:val="2"/>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bCs/>
                <w:i w:val="0"/>
                <w:iCs w:val="0"/>
                <w:snapToGrid w:val="0"/>
                <w:color w:val="000000"/>
                <w:kern w:val="0"/>
                <w:sz w:val="20"/>
                <w:szCs w:val="18"/>
                <w:u w:val="none"/>
              </w:rPr>
            </w:pPr>
            <w:r>
              <w:rPr>
                <w:rFonts w:hint="eastAsia" w:ascii="Times New Roman" w:hAnsi="Times New Roman" w:eastAsia="宋体" w:cs="宋体"/>
                <w:b w:val="0"/>
                <w:bCs/>
                <w:i w:val="0"/>
                <w:iCs w:val="0"/>
                <w:snapToGrid w:val="0"/>
                <w:color w:val="000000"/>
                <w:kern w:val="0"/>
                <w:sz w:val="20"/>
                <w:szCs w:val="18"/>
                <w:u w:val="none"/>
                <w:lang w:val="en-US" w:eastAsia="zh-CN" w:bidi="ar"/>
              </w:rPr>
              <w:t>项目名称</w:t>
            </w:r>
          </w:p>
        </w:tc>
        <w:tc>
          <w:tcPr>
            <w:tcW w:w="2079" w:type="pct"/>
            <w:gridSpan w:val="3"/>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自治区中小企业发展专项资金（本级）</w:t>
            </w:r>
          </w:p>
        </w:tc>
        <w:tc>
          <w:tcPr>
            <w:tcW w:w="975" w:type="pct"/>
            <w:gridSpan w:val="3"/>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bCs/>
                <w:i w:val="0"/>
                <w:iCs w:val="0"/>
                <w:snapToGrid w:val="0"/>
                <w:color w:val="000000"/>
                <w:kern w:val="0"/>
                <w:sz w:val="20"/>
                <w:szCs w:val="18"/>
                <w:u w:val="none"/>
              </w:rPr>
            </w:pPr>
            <w:r>
              <w:rPr>
                <w:rFonts w:hint="eastAsia" w:ascii="Times New Roman" w:hAnsi="Times New Roman" w:eastAsia="宋体" w:cs="宋体"/>
                <w:b w:val="0"/>
                <w:bCs/>
                <w:i w:val="0"/>
                <w:iCs w:val="0"/>
                <w:snapToGrid w:val="0"/>
                <w:color w:val="000000"/>
                <w:kern w:val="0"/>
                <w:sz w:val="20"/>
                <w:szCs w:val="18"/>
                <w:u w:val="none"/>
                <w:lang w:val="en-US" w:eastAsia="zh-CN" w:bidi="ar"/>
              </w:rPr>
              <w:t>项目负责人</w:t>
            </w:r>
          </w:p>
        </w:tc>
        <w:tc>
          <w:tcPr>
            <w:tcW w:w="918" w:type="pct"/>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张华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1026" w:type="pct"/>
            <w:gridSpan w:val="2"/>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bCs/>
                <w:i w:val="0"/>
                <w:iCs w:val="0"/>
                <w:snapToGrid w:val="0"/>
                <w:color w:val="000000"/>
                <w:kern w:val="0"/>
                <w:sz w:val="20"/>
                <w:szCs w:val="18"/>
                <w:u w:val="none"/>
              </w:rPr>
            </w:pPr>
            <w:r>
              <w:rPr>
                <w:rFonts w:hint="eastAsia" w:ascii="Times New Roman" w:hAnsi="Times New Roman" w:eastAsia="宋体" w:cs="宋体"/>
                <w:b w:val="0"/>
                <w:bCs/>
                <w:i w:val="0"/>
                <w:iCs w:val="0"/>
                <w:snapToGrid w:val="0"/>
                <w:color w:val="000000"/>
                <w:kern w:val="0"/>
                <w:sz w:val="20"/>
                <w:szCs w:val="18"/>
                <w:u w:val="none"/>
                <w:lang w:val="en-US" w:eastAsia="zh-CN" w:bidi="ar"/>
              </w:rPr>
              <w:t>项目资金（万元）</w:t>
            </w:r>
          </w:p>
        </w:tc>
        <w:tc>
          <w:tcPr>
            <w:tcW w:w="1025" w:type="pct"/>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年度预算总额：</w:t>
            </w:r>
          </w:p>
        </w:tc>
        <w:tc>
          <w:tcPr>
            <w:tcW w:w="621" w:type="pct"/>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default" w:ascii="Times New Roman" w:hAnsi="Times New Roman" w:eastAsia="宋体" w:cs="宋体"/>
                <w:b w:val="0"/>
                <w:i w:val="0"/>
                <w:iCs w:val="0"/>
                <w:snapToGrid w:val="0"/>
                <w:color w:val="000000"/>
                <w:kern w:val="0"/>
                <w:sz w:val="20"/>
                <w:szCs w:val="18"/>
                <w:u w:val="none"/>
                <w:lang w:val="en-US"/>
              </w:rPr>
            </w:pPr>
            <w:r>
              <w:rPr>
                <w:rFonts w:hint="eastAsia" w:eastAsia="宋体" w:cs="宋体"/>
                <w:b w:val="0"/>
                <w:i w:val="0"/>
                <w:iCs w:val="0"/>
                <w:snapToGrid w:val="0"/>
                <w:color w:val="000000"/>
                <w:kern w:val="0"/>
                <w:sz w:val="20"/>
                <w:szCs w:val="18"/>
                <w:u w:val="none"/>
                <w:lang w:val="en-US" w:eastAsia="zh-CN" w:bidi="ar"/>
              </w:rPr>
              <w:t>6450</w:t>
            </w:r>
          </w:p>
        </w:tc>
        <w:tc>
          <w:tcPr>
            <w:tcW w:w="432" w:type="pct"/>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其中：财政拨款</w:t>
            </w:r>
          </w:p>
        </w:tc>
        <w:tc>
          <w:tcPr>
            <w:tcW w:w="580" w:type="pct"/>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default" w:ascii="Times New Roman" w:hAnsi="Times New Roman" w:eastAsia="宋体" w:cs="宋体"/>
                <w:b w:val="0"/>
                <w:i w:val="0"/>
                <w:iCs w:val="0"/>
                <w:snapToGrid w:val="0"/>
                <w:color w:val="000000"/>
                <w:kern w:val="0"/>
                <w:sz w:val="20"/>
                <w:szCs w:val="18"/>
                <w:u w:val="none"/>
                <w:lang w:val="en-US"/>
              </w:rPr>
            </w:pPr>
            <w:r>
              <w:rPr>
                <w:rFonts w:hint="eastAsia" w:eastAsia="宋体" w:cs="宋体"/>
                <w:b w:val="0"/>
                <w:i w:val="0"/>
                <w:iCs w:val="0"/>
                <w:snapToGrid w:val="0"/>
                <w:color w:val="000000"/>
                <w:kern w:val="0"/>
                <w:sz w:val="20"/>
                <w:szCs w:val="18"/>
                <w:u w:val="none"/>
                <w:lang w:val="en-US" w:eastAsia="zh-CN" w:bidi="ar"/>
              </w:rPr>
              <w:t>6450</w:t>
            </w:r>
          </w:p>
        </w:tc>
        <w:tc>
          <w:tcPr>
            <w:tcW w:w="395" w:type="pct"/>
            <w:gridSpan w:val="2"/>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其他资金：</w:t>
            </w:r>
          </w:p>
        </w:tc>
        <w:tc>
          <w:tcPr>
            <w:tcW w:w="918" w:type="pct"/>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1026" w:type="pct"/>
            <w:gridSpan w:val="2"/>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bCs/>
                <w:i w:val="0"/>
                <w:iCs w:val="0"/>
                <w:snapToGrid w:val="0"/>
                <w:color w:val="000000"/>
                <w:kern w:val="0"/>
                <w:sz w:val="20"/>
                <w:szCs w:val="18"/>
                <w:u w:val="none"/>
              </w:rPr>
            </w:pPr>
            <w:r>
              <w:rPr>
                <w:rFonts w:hint="eastAsia" w:ascii="Times New Roman" w:hAnsi="Times New Roman" w:eastAsia="宋体" w:cs="宋体"/>
                <w:b w:val="0"/>
                <w:bCs/>
                <w:i w:val="0"/>
                <w:iCs w:val="0"/>
                <w:snapToGrid w:val="0"/>
                <w:color w:val="000000"/>
                <w:kern w:val="0"/>
                <w:sz w:val="20"/>
                <w:szCs w:val="18"/>
                <w:u w:val="none"/>
                <w:lang w:val="en-US" w:eastAsia="zh-CN" w:bidi="ar"/>
              </w:rPr>
              <w:t>项目总体目标</w:t>
            </w:r>
          </w:p>
        </w:tc>
        <w:tc>
          <w:tcPr>
            <w:tcW w:w="3973" w:type="pct"/>
            <w:gridSpan w:val="7"/>
            <w:shd w:val="clear" w:color="auto" w:fill="auto"/>
            <w:vAlign w:val="top"/>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both"/>
              <w:textAlignment w:val="top"/>
              <w:rPr>
                <w:rFonts w:hint="eastAsia" w:ascii="Times New Roman" w:hAnsi="Times New Roman" w:eastAsia="宋体" w:cs="宋体"/>
                <w:b w:val="0"/>
                <w:i w:val="0"/>
                <w:iCs w:val="0"/>
                <w:snapToGrid w:val="0"/>
                <w:color w:val="000000"/>
                <w:kern w:val="0"/>
                <w:sz w:val="20"/>
                <w:szCs w:val="20"/>
                <w:u w:val="none"/>
              </w:rPr>
            </w:pPr>
            <w:r>
              <w:rPr>
                <w:rFonts w:hint="eastAsia" w:ascii="Times New Roman" w:hAnsi="Times New Roman" w:eastAsia="宋体" w:cs="宋体"/>
                <w:b w:val="0"/>
                <w:i w:val="0"/>
                <w:iCs w:val="0"/>
                <w:snapToGrid w:val="0"/>
                <w:color w:val="000000"/>
                <w:kern w:val="0"/>
                <w:sz w:val="20"/>
                <w:szCs w:val="20"/>
                <w:u w:val="none"/>
                <w:lang w:val="en-US" w:eastAsia="zh-CN" w:bidi="ar"/>
              </w:rPr>
              <w:t>1.对专精特新企业进行培育支持，提升创新能力；2.组织企业参加创客中国大赛，提高企业创业创新能力；3.组织企业参加第十九届中博会，引导企业走出去，提高经营水平；4.对企业经营管理人员进行培训，提升经营管理水平；进一步提升中小企业产业集群专业化、特色化、集群化发展水平，促进中小企业高质量发展；强化培育专精特新企业上市。引导担保机构扩大小微企业融资担保规模，降低小微企业融资担保费率和融资担保成本，促进专注于服务小微企业的融资担保机构可持续发展，着力缓解小微企业融资难融资贵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490" w:type="pct"/>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bCs/>
                <w:i w:val="0"/>
                <w:iCs w:val="0"/>
                <w:snapToGrid w:val="0"/>
                <w:color w:val="000000"/>
                <w:kern w:val="0"/>
                <w:sz w:val="20"/>
                <w:szCs w:val="18"/>
                <w:u w:val="none"/>
              </w:rPr>
            </w:pPr>
            <w:r>
              <w:rPr>
                <w:rFonts w:hint="eastAsia" w:ascii="Times New Roman" w:hAnsi="Times New Roman" w:eastAsia="宋体" w:cs="宋体"/>
                <w:b w:val="0"/>
                <w:bCs/>
                <w:i w:val="0"/>
                <w:iCs w:val="0"/>
                <w:snapToGrid w:val="0"/>
                <w:color w:val="000000"/>
                <w:kern w:val="0"/>
                <w:sz w:val="20"/>
                <w:szCs w:val="18"/>
                <w:u w:val="none"/>
                <w:lang w:val="en-US" w:eastAsia="zh-CN" w:bidi="ar"/>
              </w:rPr>
              <w:t>一级指标</w:t>
            </w:r>
          </w:p>
        </w:tc>
        <w:tc>
          <w:tcPr>
            <w:tcW w:w="536" w:type="pct"/>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bCs/>
                <w:i w:val="0"/>
                <w:iCs w:val="0"/>
                <w:snapToGrid w:val="0"/>
                <w:color w:val="000000"/>
                <w:kern w:val="0"/>
                <w:sz w:val="20"/>
                <w:szCs w:val="18"/>
                <w:u w:val="none"/>
              </w:rPr>
            </w:pPr>
            <w:r>
              <w:rPr>
                <w:rFonts w:hint="eastAsia" w:ascii="Times New Roman" w:hAnsi="Times New Roman" w:eastAsia="宋体" w:cs="宋体"/>
                <w:b w:val="0"/>
                <w:bCs/>
                <w:i w:val="0"/>
                <w:iCs w:val="0"/>
                <w:snapToGrid w:val="0"/>
                <w:color w:val="000000"/>
                <w:kern w:val="0"/>
                <w:sz w:val="20"/>
                <w:szCs w:val="18"/>
                <w:u w:val="none"/>
                <w:lang w:val="en-US" w:eastAsia="zh-CN" w:bidi="ar"/>
              </w:rPr>
              <w:t>二级指标</w:t>
            </w:r>
          </w:p>
        </w:tc>
        <w:tc>
          <w:tcPr>
            <w:tcW w:w="2914" w:type="pct"/>
            <w:gridSpan w:val="5"/>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bCs/>
                <w:i w:val="0"/>
                <w:iCs w:val="0"/>
                <w:snapToGrid w:val="0"/>
                <w:color w:val="000000"/>
                <w:kern w:val="0"/>
                <w:sz w:val="20"/>
                <w:szCs w:val="18"/>
                <w:u w:val="none"/>
              </w:rPr>
            </w:pPr>
            <w:r>
              <w:rPr>
                <w:rFonts w:hint="eastAsia" w:ascii="Times New Roman" w:hAnsi="Times New Roman" w:eastAsia="宋体" w:cs="宋体"/>
                <w:b w:val="0"/>
                <w:bCs/>
                <w:i w:val="0"/>
                <w:iCs w:val="0"/>
                <w:snapToGrid w:val="0"/>
                <w:color w:val="000000"/>
                <w:kern w:val="0"/>
                <w:sz w:val="20"/>
                <w:szCs w:val="18"/>
                <w:u w:val="none"/>
                <w:lang w:val="en-US" w:eastAsia="zh-CN" w:bidi="ar"/>
              </w:rPr>
              <w:t>三级指标</w:t>
            </w:r>
          </w:p>
        </w:tc>
        <w:tc>
          <w:tcPr>
            <w:tcW w:w="1059" w:type="pct"/>
            <w:gridSpan w:val="2"/>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bCs/>
                <w:i w:val="0"/>
                <w:iCs w:val="0"/>
                <w:snapToGrid w:val="0"/>
                <w:color w:val="000000"/>
                <w:kern w:val="0"/>
                <w:sz w:val="20"/>
                <w:szCs w:val="18"/>
                <w:u w:val="none"/>
              </w:rPr>
            </w:pPr>
            <w:r>
              <w:rPr>
                <w:rFonts w:hint="eastAsia" w:ascii="Times New Roman" w:hAnsi="Times New Roman" w:eastAsia="宋体" w:cs="宋体"/>
                <w:b w:val="0"/>
                <w:bCs/>
                <w:i w:val="0"/>
                <w:iCs w:val="0"/>
                <w:snapToGrid w:val="0"/>
                <w:color w:val="000000"/>
                <w:kern w:val="0"/>
                <w:sz w:val="20"/>
                <w:szCs w:val="18"/>
                <w:u w:val="none"/>
                <w:lang w:val="en-US" w:eastAsia="zh-CN"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490" w:type="pct"/>
            <w:vMerge w:val="restart"/>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产出指标</w:t>
            </w:r>
          </w:p>
        </w:tc>
        <w:tc>
          <w:tcPr>
            <w:tcW w:w="536" w:type="pct"/>
            <w:vMerge w:val="restart"/>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数量指标</w:t>
            </w:r>
          </w:p>
        </w:tc>
        <w:tc>
          <w:tcPr>
            <w:tcW w:w="2914" w:type="pct"/>
            <w:gridSpan w:val="5"/>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支持专精特新“小巨人”企业数量（家）</w:t>
            </w:r>
          </w:p>
        </w:tc>
        <w:tc>
          <w:tcPr>
            <w:tcW w:w="1059" w:type="pct"/>
            <w:gridSpan w:val="2"/>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=9家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490" w:type="pct"/>
            <w:vMerge w:val="continue"/>
            <w:shd w:val="clear" w:color="auto" w:fill="auto"/>
            <w:vAlign w:val="center"/>
          </w:tcPr>
          <w:p>
            <w:pPr>
              <w:keepNext w:val="0"/>
              <w:keepLines w:val="0"/>
              <w:pageBreakBefore w:val="0"/>
              <w:widowControl/>
              <w:kinsoku w:val="0"/>
              <w:wordWrap/>
              <w:overflowPunct/>
              <w:topLinePunct w:val="0"/>
              <w:autoSpaceDE/>
              <w:autoSpaceDN/>
              <w:bidi w:val="0"/>
              <w:adjustRightInd w:val="0"/>
              <w:snapToGrid w:val="0"/>
              <w:spacing w:line="360" w:lineRule="exact"/>
              <w:ind w:firstLine="0" w:firstLineChars="0"/>
              <w:jc w:val="center"/>
              <w:textAlignment w:val="baseline"/>
              <w:rPr>
                <w:rFonts w:hint="eastAsia" w:ascii="Times New Roman" w:hAnsi="Times New Roman" w:eastAsia="宋体" w:cs="宋体"/>
                <w:b w:val="0"/>
                <w:i w:val="0"/>
                <w:iCs w:val="0"/>
                <w:snapToGrid w:val="0"/>
                <w:color w:val="000000"/>
                <w:kern w:val="0"/>
                <w:sz w:val="20"/>
                <w:szCs w:val="18"/>
                <w:u w:val="none"/>
              </w:rPr>
            </w:pPr>
          </w:p>
        </w:tc>
        <w:tc>
          <w:tcPr>
            <w:tcW w:w="536" w:type="pct"/>
            <w:vMerge w:val="continue"/>
            <w:shd w:val="clear" w:color="auto" w:fill="auto"/>
            <w:vAlign w:val="center"/>
          </w:tcPr>
          <w:p>
            <w:pPr>
              <w:keepNext w:val="0"/>
              <w:keepLines w:val="0"/>
              <w:pageBreakBefore w:val="0"/>
              <w:widowControl/>
              <w:kinsoku w:val="0"/>
              <w:wordWrap/>
              <w:overflowPunct/>
              <w:topLinePunct w:val="0"/>
              <w:autoSpaceDE/>
              <w:autoSpaceDN/>
              <w:bidi w:val="0"/>
              <w:adjustRightInd w:val="0"/>
              <w:snapToGrid w:val="0"/>
              <w:spacing w:line="360" w:lineRule="exact"/>
              <w:ind w:firstLine="0" w:firstLineChars="0"/>
              <w:jc w:val="center"/>
              <w:textAlignment w:val="baseline"/>
              <w:rPr>
                <w:rFonts w:hint="eastAsia" w:ascii="Times New Roman" w:hAnsi="Times New Roman" w:eastAsia="宋体" w:cs="宋体"/>
                <w:b w:val="0"/>
                <w:i w:val="0"/>
                <w:iCs w:val="0"/>
                <w:snapToGrid w:val="0"/>
                <w:color w:val="000000"/>
                <w:kern w:val="0"/>
                <w:sz w:val="20"/>
                <w:szCs w:val="18"/>
                <w:u w:val="none"/>
              </w:rPr>
            </w:pPr>
          </w:p>
        </w:tc>
        <w:tc>
          <w:tcPr>
            <w:tcW w:w="2914" w:type="pct"/>
            <w:gridSpan w:val="5"/>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支持专精特新中小企业数量（家）</w:t>
            </w:r>
          </w:p>
        </w:tc>
        <w:tc>
          <w:tcPr>
            <w:tcW w:w="1059" w:type="pct"/>
            <w:gridSpan w:val="2"/>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=200家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490" w:type="pct"/>
            <w:vMerge w:val="continue"/>
            <w:shd w:val="clear" w:color="auto" w:fill="auto"/>
            <w:vAlign w:val="center"/>
          </w:tcPr>
          <w:p>
            <w:pPr>
              <w:keepNext w:val="0"/>
              <w:keepLines w:val="0"/>
              <w:pageBreakBefore w:val="0"/>
              <w:widowControl/>
              <w:kinsoku w:val="0"/>
              <w:wordWrap/>
              <w:overflowPunct/>
              <w:topLinePunct w:val="0"/>
              <w:autoSpaceDE/>
              <w:autoSpaceDN/>
              <w:bidi w:val="0"/>
              <w:adjustRightInd w:val="0"/>
              <w:snapToGrid w:val="0"/>
              <w:spacing w:line="360" w:lineRule="exact"/>
              <w:ind w:firstLine="0" w:firstLineChars="0"/>
              <w:jc w:val="center"/>
              <w:textAlignment w:val="baseline"/>
              <w:rPr>
                <w:rFonts w:hint="eastAsia" w:ascii="Times New Roman" w:hAnsi="Times New Roman" w:eastAsia="宋体" w:cs="宋体"/>
                <w:b w:val="0"/>
                <w:i w:val="0"/>
                <w:iCs w:val="0"/>
                <w:snapToGrid w:val="0"/>
                <w:color w:val="000000"/>
                <w:kern w:val="0"/>
                <w:sz w:val="20"/>
                <w:szCs w:val="18"/>
                <w:u w:val="none"/>
              </w:rPr>
            </w:pPr>
          </w:p>
        </w:tc>
        <w:tc>
          <w:tcPr>
            <w:tcW w:w="536" w:type="pct"/>
            <w:vMerge w:val="continue"/>
            <w:shd w:val="clear" w:color="auto" w:fill="auto"/>
            <w:vAlign w:val="center"/>
          </w:tcPr>
          <w:p>
            <w:pPr>
              <w:keepNext w:val="0"/>
              <w:keepLines w:val="0"/>
              <w:pageBreakBefore w:val="0"/>
              <w:widowControl/>
              <w:kinsoku w:val="0"/>
              <w:wordWrap/>
              <w:overflowPunct/>
              <w:topLinePunct w:val="0"/>
              <w:autoSpaceDE/>
              <w:autoSpaceDN/>
              <w:bidi w:val="0"/>
              <w:adjustRightInd w:val="0"/>
              <w:snapToGrid w:val="0"/>
              <w:spacing w:line="360" w:lineRule="exact"/>
              <w:ind w:firstLine="0" w:firstLineChars="0"/>
              <w:jc w:val="center"/>
              <w:textAlignment w:val="baseline"/>
              <w:rPr>
                <w:rFonts w:hint="eastAsia" w:ascii="Times New Roman" w:hAnsi="Times New Roman" w:eastAsia="宋体" w:cs="宋体"/>
                <w:b w:val="0"/>
                <w:i w:val="0"/>
                <w:iCs w:val="0"/>
                <w:snapToGrid w:val="0"/>
                <w:color w:val="000000"/>
                <w:kern w:val="0"/>
                <w:sz w:val="20"/>
                <w:szCs w:val="18"/>
                <w:u w:val="none"/>
              </w:rPr>
            </w:pPr>
          </w:p>
        </w:tc>
        <w:tc>
          <w:tcPr>
            <w:tcW w:w="2914" w:type="pct"/>
            <w:gridSpan w:val="5"/>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注册报名参加第九届创客中国创业创新大赛项目数</w:t>
            </w:r>
          </w:p>
        </w:tc>
        <w:tc>
          <w:tcPr>
            <w:tcW w:w="1059" w:type="pct"/>
            <w:gridSpan w:val="2"/>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=460个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490" w:type="pct"/>
            <w:vMerge w:val="continue"/>
            <w:shd w:val="clear" w:color="auto" w:fill="auto"/>
            <w:vAlign w:val="center"/>
          </w:tcPr>
          <w:p>
            <w:pPr>
              <w:keepNext w:val="0"/>
              <w:keepLines w:val="0"/>
              <w:pageBreakBefore w:val="0"/>
              <w:widowControl/>
              <w:kinsoku w:val="0"/>
              <w:wordWrap/>
              <w:overflowPunct/>
              <w:topLinePunct w:val="0"/>
              <w:autoSpaceDE/>
              <w:autoSpaceDN/>
              <w:bidi w:val="0"/>
              <w:adjustRightInd w:val="0"/>
              <w:snapToGrid w:val="0"/>
              <w:spacing w:line="360" w:lineRule="exact"/>
              <w:ind w:firstLine="0" w:firstLineChars="0"/>
              <w:jc w:val="center"/>
              <w:textAlignment w:val="baseline"/>
              <w:rPr>
                <w:rFonts w:hint="eastAsia" w:ascii="Times New Roman" w:hAnsi="Times New Roman" w:eastAsia="宋体" w:cs="宋体"/>
                <w:b w:val="0"/>
                <w:i w:val="0"/>
                <w:iCs w:val="0"/>
                <w:snapToGrid w:val="0"/>
                <w:color w:val="000000"/>
                <w:kern w:val="0"/>
                <w:sz w:val="20"/>
                <w:szCs w:val="18"/>
                <w:u w:val="none"/>
              </w:rPr>
            </w:pPr>
          </w:p>
        </w:tc>
        <w:tc>
          <w:tcPr>
            <w:tcW w:w="536" w:type="pct"/>
            <w:vMerge w:val="continue"/>
            <w:shd w:val="clear" w:color="auto" w:fill="auto"/>
            <w:vAlign w:val="center"/>
          </w:tcPr>
          <w:p>
            <w:pPr>
              <w:keepNext w:val="0"/>
              <w:keepLines w:val="0"/>
              <w:pageBreakBefore w:val="0"/>
              <w:widowControl/>
              <w:kinsoku w:val="0"/>
              <w:wordWrap/>
              <w:overflowPunct/>
              <w:topLinePunct w:val="0"/>
              <w:autoSpaceDE/>
              <w:autoSpaceDN/>
              <w:bidi w:val="0"/>
              <w:adjustRightInd w:val="0"/>
              <w:snapToGrid w:val="0"/>
              <w:spacing w:line="360" w:lineRule="exact"/>
              <w:ind w:firstLine="0" w:firstLineChars="0"/>
              <w:jc w:val="center"/>
              <w:textAlignment w:val="baseline"/>
              <w:rPr>
                <w:rFonts w:hint="eastAsia" w:ascii="Times New Roman" w:hAnsi="Times New Roman" w:eastAsia="宋体" w:cs="宋体"/>
                <w:b w:val="0"/>
                <w:i w:val="0"/>
                <w:iCs w:val="0"/>
                <w:snapToGrid w:val="0"/>
                <w:color w:val="000000"/>
                <w:kern w:val="0"/>
                <w:sz w:val="20"/>
                <w:szCs w:val="18"/>
                <w:u w:val="none"/>
              </w:rPr>
            </w:pPr>
          </w:p>
        </w:tc>
        <w:tc>
          <w:tcPr>
            <w:tcW w:w="2914" w:type="pct"/>
            <w:gridSpan w:val="5"/>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组织企业参加第十九届中博会的数量（家）</w:t>
            </w:r>
          </w:p>
        </w:tc>
        <w:tc>
          <w:tcPr>
            <w:tcW w:w="1059" w:type="pct"/>
            <w:gridSpan w:val="2"/>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=30 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490" w:type="pct"/>
            <w:vMerge w:val="continue"/>
            <w:shd w:val="clear" w:color="auto" w:fill="auto"/>
            <w:vAlign w:val="center"/>
          </w:tcPr>
          <w:p>
            <w:pPr>
              <w:keepNext w:val="0"/>
              <w:keepLines w:val="0"/>
              <w:pageBreakBefore w:val="0"/>
              <w:widowControl/>
              <w:kinsoku w:val="0"/>
              <w:wordWrap/>
              <w:overflowPunct/>
              <w:topLinePunct w:val="0"/>
              <w:autoSpaceDE/>
              <w:autoSpaceDN/>
              <w:bidi w:val="0"/>
              <w:adjustRightInd w:val="0"/>
              <w:snapToGrid w:val="0"/>
              <w:spacing w:line="360" w:lineRule="exact"/>
              <w:ind w:firstLine="0" w:firstLineChars="0"/>
              <w:jc w:val="center"/>
              <w:textAlignment w:val="baseline"/>
              <w:rPr>
                <w:rFonts w:hint="eastAsia" w:ascii="Times New Roman" w:hAnsi="Times New Roman" w:eastAsia="宋体" w:cs="宋体"/>
                <w:b w:val="0"/>
                <w:i w:val="0"/>
                <w:iCs w:val="0"/>
                <w:snapToGrid w:val="0"/>
                <w:color w:val="000000"/>
                <w:kern w:val="0"/>
                <w:sz w:val="20"/>
                <w:szCs w:val="18"/>
                <w:u w:val="none"/>
              </w:rPr>
            </w:pPr>
          </w:p>
        </w:tc>
        <w:tc>
          <w:tcPr>
            <w:tcW w:w="536" w:type="pct"/>
            <w:vMerge w:val="continue"/>
            <w:shd w:val="clear" w:color="auto" w:fill="auto"/>
            <w:vAlign w:val="center"/>
          </w:tcPr>
          <w:p>
            <w:pPr>
              <w:keepNext w:val="0"/>
              <w:keepLines w:val="0"/>
              <w:pageBreakBefore w:val="0"/>
              <w:widowControl/>
              <w:kinsoku w:val="0"/>
              <w:wordWrap/>
              <w:overflowPunct/>
              <w:topLinePunct w:val="0"/>
              <w:autoSpaceDE/>
              <w:autoSpaceDN/>
              <w:bidi w:val="0"/>
              <w:adjustRightInd w:val="0"/>
              <w:snapToGrid w:val="0"/>
              <w:spacing w:line="360" w:lineRule="exact"/>
              <w:ind w:firstLine="0" w:firstLineChars="0"/>
              <w:jc w:val="center"/>
              <w:textAlignment w:val="baseline"/>
              <w:rPr>
                <w:rFonts w:hint="eastAsia" w:ascii="Times New Roman" w:hAnsi="Times New Roman" w:eastAsia="宋体" w:cs="宋体"/>
                <w:b w:val="0"/>
                <w:i w:val="0"/>
                <w:iCs w:val="0"/>
                <w:snapToGrid w:val="0"/>
                <w:color w:val="000000"/>
                <w:kern w:val="0"/>
                <w:sz w:val="20"/>
                <w:szCs w:val="18"/>
                <w:u w:val="none"/>
              </w:rPr>
            </w:pPr>
          </w:p>
        </w:tc>
        <w:tc>
          <w:tcPr>
            <w:tcW w:w="2914" w:type="pct"/>
            <w:gridSpan w:val="5"/>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支持银河培训机构（企业）数量（个）</w:t>
            </w:r>
          </w:p>
        </w:tc>
        <w:tc>
          <w:tcPr>
            <w:tcW w:w="1059" w:type="pct"/>
            <w:gridSpan w:val="2"/>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=3个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490" w:type="pct"/>
            <w:vMerge w:val="continue"/>
            <w:shd w:val="clear" w:color="auto" w:fill="auto"/>
            <w:vAlign w:val="center"/>
          </w:tcPr>
          <w:p>
            <w:pPr>
              <w:keepNext w:val="0"/>
              <w:keepLines w:val="0"/>
              <w:pageBreakBefore w:val="0"/>
              <w:widowControl/>
              <w:kinsoku w:val="0"/>
              <w:wordWrap/>
              <w:overflowPunct/>
              <w:topLinePunct w:val="0"/>
              <w:autoSpaceDE/>
              <w:autoSpaceDN/>
              <w:bidi w:val="0"/>
              <w:adjustRightInd w:val="0"/>
              <w:snapToGrid w:val="0"/>
              <w:spacing w:line="360" w:lineRule="exact"/>
              <w:ind w:firstLine="0" w:firstLineChars="0"/>
              <w:jc w:val="center"/>
              <w:textAlignment w:val="baseline"/>
              <w:rPr>
                <w:rFonts w:hint="eastAsia" w:ascii="Times New Roman" w:hAnsi="Times New Roman" w:eastAsia="宋体" w:cs="宋体"/>
                <w:b w:val="0"/>
                <w:i w:val="0"/>
                <w:iCs w:val="0"/>
                <w:snapToGrid w:val="0"/>
                <w:color w:val="000000"/>
                <w:kern w:val="0"/>
                <w:sz w:val="20"/>
                <w:szCs w:val="18"/>
                <w:u w:val="none"/>
              </w:rPr>
            </w:pPr>
          </w:p>
        </w:tc>
        <w:tc>
          <w:tcPr>
            <w:tcW w:w="536" w:type="pct"/>
            <w:vMerge w:val="continue"/>
            <w:shd w:val="clear" w:color="auto" w:fill="auto"/>
            <w:vAlign w:val="center"/>
          </w:tcPr>
          <w:p>
            <w:pPr>
              <w:keepNext w:val="0"/>
              <w:keepLines w:val="0"/>
              <w:pageBreakBefore w:val="0"/>
              <w:widowControl/>
              <w:kinsoku w:val="0"/>
              <w:wordWrap/>
              <w:overflowPunct/>
              <w:topLinePunct w:val="0"/>
              <w:autoSpaceDE/>
              <w:autoSpaceDN/>
              <w:bidi w:val="0"/>
              <w:adjustRightInd w:val="0"/>
              <w:snapToGrid w:val="0"/>
              <w:spacing w:line="360" w:lineRule="exact"/>
              <w:ind w:firstLine="0" w:firstLineChars="0"/>
              <w:jc w:val="center"/>
              <w:textAlignment w:val="baseline"/>
              <w:rPr>
                <w:rFonts w:hint="eastAsia" w:ascii="Times New Roman" w:hAnsi="Times New Roman" w:eastAsia="宋体" w:cs="宋体"/>
                <w:b w:val="0"/>
                <w:i w:val="0"/>
                <w:iCs w:val="0"/>
                <w:snapToGrid w:val="0"/>
                <w:color w:val="000000"/>
                <w:kern w:val="0"/>
                <w:sz w:val="20"/>
                <w:szCs w:val="18"/>
                <w:u w:val="none"/>
              </w:rPr>
            </w:pPr>
          </w:p>
        </w:tc>
        <w:tc>
          <w:tcPr>
            <w:tcW w:w="2914" w:type="pct"/>
            <w:gridSpan w:val="5"/>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保障中小企业发展服务平台系统</w:t>
            </w:r>
          </w:p>
        </w:tc>
        <w:tc>
          <w:tcPr>
            <w:tcW w:w="1059" w:type="pct"/>
            <w:gridSpan w:val="2"/>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490" w:type="pct"/>
            <w:vMerge w:val="continue"/>
            <w:shd w:val="clear" w:color="auto" w:fill="auto"/>
            <w:vAlign w:val="center"/>
          </w:tcPr>
          <w:p>
            <w:pPr>
              <w:keepNext w:val="0"/>
              <w:keepLines w:val="0"/>
              <w:pageBreakBefore w:val="0"/>
              <w:widowControl/>
              <w:kinsoku w:val="0"/>
              <w:wordWrap/>
              <w:overflowPunct/>
              <w:topLinePunct w:val="0"/>
              <w:autoSpaceDE/>
              <w:autoSpaceDN/>
              <w:bidi w:val="0"/>
              <w:adjustRightInd w:val="0"/>
              <w:snapToGrid w:val="0"/>
              <w:spacing w:line="360" w:lineRule="exact"/>
              <w:ind w:firstLine="0" w:firstLineChars="0"/>
              <w:jc w:val="center"/>
              <w:textAlignment w:val="baseline"/>
              <w:rPr>
                <w:rFonts w:hint="eastAsia" w:ascii="Times New Roman" w:hAnsi="Times New Roman" w:eastAsia="宋体" w:cs="宋体"/>
                <w:b w:val="0"/>
                <w:i w:val="0"/>
                <w:iCs w:val="0"/>
                <w:snapToGrid w:val="0"/>
                <w:color w:val="000000"/>
                <w:kern w:val="0"/>
                <w:sz w:val="20"/>
                <w:szCs w:val="18"/>
                <w:u w:val="none"/>
              </w:rPr>
            </w:pPr>
          </w:p>
        </w:tc>
        <w:tc>
          <w:tcPr>
            <w:tcW w:w="536" w:type="pct"/>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质量指标</w:t>
            </w:r>
          </w:p>
        </w:tc>
        <w:tc>
          <w:tcPr>
            <w:tcW w:w="2914" w:type="pct"/>
            <w:gridSpan w:val="5"/>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培训合格率</w:t>
            </w:r>
          </w:p>
        </w:tc>
        <w:tc>
          <w:tcPr>
            <w:tcW w:w="1059" w:type="pct"/>
            <w:gridSpan w:val="2"/>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&gt;=90%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490" w:type="pct"/>
            <w:vMerge w:val="restart"/>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成本指标</w:t>
            </w:r>
          </w:p>
        </w:tc>
        <w:tc>
          <w:tcPr>
            <w:tcW w:w="536" w:type="pct"/>
            <w:vMerge w:val="restart"/>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经济成本指标</w:t>
            </w:r>
          </w:p>
        </w:tc>
        <w:tc>
          <w:tcPr>
            <w:tcW w:w="2914" w:type="pct"/>
            <w:gridSpan w:val="5"/>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专精特新“小巨人”企业扶持标准</w:t>
            </w:r>
          </w:p>
        </w:tc>
        <w:tc>
          <w:tcPr>
            <w:tcW w:w="1059" w:type="pct"/>
            <w:gridSpan w:val="2"/>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=100万元/家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490" w:type="pct"/>
            <w:vMerge w:val="continue"/>
            <w:shd w:val="clear" w:color="auto" w:fill="auto"/>
            <w:vAlign w:val="center"/>
          </w:tcPr>
          <w:p>
            <w:pPr>
              <w:keepNext w:val="0"/>
              <w:keepLines w:val="0"/>
              <w:pageBreakBefore w:val="0"/>
              <w:widowControl/>
              <w:kinsoku w:val="0"/>
              <w:wordWrap/>
              <w:overflowPunct/>
              <w:topLinePunct w:val="0"/>
              <w:autoSpaceDE/>
              <w:autoSpaceDN/>
              <w:bidi w:val="0"/>
              <w:adjustRightInd w:val="0"/>
              <w:snapToGrid w:val="0"/>
              <w:spacing w:line="360" w:lineRule="exact"/>
              <w:ind w:firstLine="0" w:firstLineChars="0"/>
              <w:jc w:val="center"/>
              <w:textAlignment w:val="baseline"/>
              <w:rPr>
                <w:rFonts w:hint="eastAsia" w:ascii="Times New Roman" w:hAnsi="Times New Roman" w:eastAsia="宋体" w:cs="宋体"/>
                <w:b w:val="0"/>
                <w:i w:val="0"/>
                <w:iCs w:val="0"/>
                <w:snapToGrid w:val="0"/>
                <w:color w:val="000000"/>
                <w:kern w:val="0"/>
                <w:sz w:val="20"/>
                <w:szCs w:val="18"/>
                <w:u w:val="none"/>
              </w:rPr>
            </w:pPr>
          </w:p>
        </w:tc>
        <w:tc>
          <w:tcPr>
            <w:tcW w:w="536" w:type="pct"/>
            <w:vMerge w:val="continue"/>
            <w:shd w:val="clear" w:color="auto" w:fill="auto"/>
            <w:vAlign w:val="center"/>
          </w:tcPr>
          <w:p>
            <w:pPr>
              <w:keepNext w:val="0"/>
              <w:keepLines w:val="0"/>
              <w:pageBreakBefore w:val="0"/>
              <w:widowControl/>
              <w:kinsoku w:val="0"/>
              <w:wordWrap/>
              <w:overflowPunct/>
              <w:topLinePunct w:val="0"/>
              <w:autoSpaceDE/>
              <w:autoSpaceDN/>
              <w:bidi w:val="0"/>
              <w:adjustRightInd w:val="0"/>
              <w:snapToGrid w:val="0"/>
              <w:spacing w:line="360" w:lineRule="exact"/>
              <w:ind w:firstLine="0" w:firstLineChars="0"/>
              <w:jc w:val="center"/>
              <w:textAlignment w:val="baseline"/>
              <w:rPr>
                <w:rFonts w:hint="eastAsia" w:ascii="Times New Roman" w:hAnsi="Times New Roman" w:eastAsia="宋体" w:cs="宋体"/>
                <w:b w:val="0"/>
                <w:i w:val="0"/>
                <w:iCs w:val="0"/>
                <w:snapToGrid w:val="0"/>
                <w:color w:val="000000"/>
                <w:kern w:val="0"/>
                <w:sz w:val="20"/>
                <w:szCs w:val="18"/>
                <w:u w:val="none"/>
              </w:rPr>
            </w:pPr>
          </w:p>
        </w:tc>
        <w:tc>
          <w:tcPr>
            <w:tcW w:w="2914" w:type="pct"/>
            <w:gridSpan w:val="5"/>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专精特新中小企业扶持标准</w:t>
            </w:r>
          </w:p>
        </w:tc>
        <w:tc>
          <w:tcPr>
            <w:tcW w:w="1059" w:type="pct"/>
            <w:gridSpan w:val="2"/>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=25万元/家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490" w:type="pct"/>
            <w:vMerge w:val="restart"/>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效益指标</w:t>
            </w:r>
          </w:p>
        </w:tc>
        <w:tc>
          <w:tcPr>
            <w:tcW w:w="536" w:type="pct"/>
            <w:vMerge w:val="restart"/>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经济效益指标</w:t>
            </w:r>
          </w:p>
        </w:tc>
        <w:tc>
          <w:tcPr>
            <w:tcW w:w="2914" w:type="pct"/>
            <w:gridSpan w:val="5"/>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专精特新企业主营业务收入占营业收入比重</w:t>
            </w:r>
          </w:p>
        </w:tc>
        <w:tc>
          <w:tcPr>
            <w:tcW w:w="1059" w:type="pct"/>
            <w:gridSpan w:val="2"/>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&gt;=95%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490" w:type="pct"/>
            <w:vMerge w:val="continue"/>
            <w:shd w:val="clear" w:color="auto" w:fill="auto"/>
            <w:vAlign w:val="center"/>
          </w:tcPr>
          <w:p>
            <w:pPr>
              <w:keepNext w:val="0"/>
              <w:keepLines w:val="0"/>
              <w:pageBreakBefore w:val="0"/>
              <w:widowControl/>
              <w:kinsoku w:val="0"/>
              <w:wordWrap/>
              <w:overflowPunct/>
              <w:topLinePunct w:val="0"/>
              <w:autoSpaceDE/>
              <w:autoSpaceDN/>
              <w:bidi w:val="0"/>
              <w:adjustRightInd w:val="0"/>
              <w:snapToGrid w:val="0"/>
              <w:spacing w:line="360" w:lineRule="exact"/>
              <w:ind w:firstLine="0" w:firstLineChars="0"/>
              <w:jc w:val="center"/>
              <w:textAlignment w:val="baseline"/>
              <w:rPr>
                <w:rFonts w:hint="eastAsia" w:ascii="Times New Roman" w:hAnsi="Times New Roman" w:eastAsia="宋体" w:cs="宋体"/>
                <w:b w:val="0"/>
                <w:i w:val="0"/>
                <w:iCs w:val="0"/>
                <w:snapToGrid w:val="0"/>
                <w:color w:val="000000"/>
                <w:kern w:val="0"/>
                <w:sz w:val="20"/>
                <w:szCs w:val="18"/>
                <w:u w:val="none"/>
              </w:rPr>
            </w:pPr>
          </w:p>
        </w:tc>
        <w:tc>
          <w:tcPr>
            <w:tcW w:w="536" w:type="pct"/>
            <w:vMerge w:val="continue"/>
            <w:shd w:val="clear" w:color="auto" w:fill="auto"/>
            <w:vAlign w:val="center"/>
          </w:tcPr>
          <w:p>
            <w:pPr>
              <w:keepNext w:val="0"/>
              <w:keepLines w:val="0"/>
              <w:pageBreakBefore w:val="0"/>
              <w:widowControl/>
              <w:kinsoku w:val="0"/>
              <w:wordWrap/>
              <w:overflowPunct/>
              <w:topLinePunct w:val="0"/>
              <w:autoSpaceDE/>
              <w:autoSpaceDN/>
              <w:bidi w:val="0"/>
              <w:adjustRightInd w:val="0"/>
              <w:snapToGrid w:val="0"/>
              <w:spacing w:line="360" w:lineRule="exact"/>
              <w:ind w:firstLine="0" w:firstLineChars="0"/>
              <w:jc w:val="center"/>
              <w:textAlignment w:val="baseline"/>
              <w:rPr>
                <w:rFonts w:hint="eastAsia" w:ascii="Times New Roman" w:hAnsi="Times New Roman" w:eastAsia="宋体" w:cs="宋体"/>
                <w:b w:val="0"/>
                <w:i w:val="0"/>
                <w:iCs w:val="0"/>
                <w:snapToGrid w:val="0"/>
                <w:color w:val="000000"/>
                <w:kern w:val="0"/>
                <w:sz w:val="20"/>
                <w:szCs w:val="18"/>
                <w:u w:val="none"/>
              </w:rPr>
            </w:pPr>
          </w:p>
        </w:tc>
        <w:tc>
          <w:tcPr>
            <w:tcW w:w="2914" w:type="pct"/>
            <w:gridSpan w:val="5"/>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第十九届中博会同国内企业签约金额</w:t>
            </w:r>
          </w:p>
        </w:tc>
        <w:tc>
          <w:tcPr>
            <w:tcW w:w="1059" w:type="pct"/>
            <w:gridSpan w:val="2"/>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&gt;=1400万元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490" w:type="pct"/>
            <w:vMerge w:val="continue"/>
            <w:shd w:val="clear" w:color="auto" w:fill="auto"/>
            <w:vAlign w:val="center"/>
          </w:tcPr>
          <w:p>
            <w:pPr>
              <w:keepNext w:val="0"/>
              <w:keepLines w:val="0"/>
              <w:pageBreakBefore w:val="0"/>
              <w:widowControl/>
              <w:kinsoku w:val="0"/>
              <w:wordWrap/>
              <w:overflowPunct/>
              <w:topLinePunct w:val="0"/>
              <w:autoSpaceDE/>
              <w:autoSpaceDN/>
              <w:bidi w:val="0"/>
              <w:adjustRightInd w:val="0"/>
              <w:snapToGrid w:val="0"/>
              <w:spacing w:line="360" w:lineRule="exact"/>
              <w:ind w:firstLine="0" w:firstLineChars="0"/>
              <w:jc w:val="center"/>
              <w:textAlignment w:val="baseline"/>
              <w:rPr>
                <w:rFonts w:hint="eastAsia" w:ascii="Times New Roman" w:hAnsi="Times New Roman" w:eastAsia="宋体" w:cs="宋体"/>
                <w:b w:val="0"/>
                <w:i w:val="0"/>
                <w:iCs w:val="0"/>
                <w:snapToGrid w:val="0"/>
                <w:color w:val="000000"/>
                <w:kern w:val="0"/>
                <w:sz w:val="20"/>
                <w:szCs w:val="18"/>
                <w:u w:val="none"/>
              </w:rPr>
            </w:pPr>
          </w:p>
        </w:tc>
        <w:tc>
          <w:tcPr>
            <w:tcW w:w="536" w:type="pct"/>
            <w:vMerge w:val="restart"/>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社会效益指标</w:t>
            </w:r>
          </w:p>
        </w:tc>
        <w:tc>
          <w:tcPr>
            <w:tcW w:w="2914" w:type="pct"/>
            <w:gridSpan w:val="5"/>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专精特新“小巨人”研发经费支出占营业收入比重</w:t>
            </w:r>
          </w:p>
        </w:tc>
        <w:tc>
          <w:tcPr>
            <w:tcW w:w="1059" w:type="pct"/>
            <w:gridSpan w:val="2"/>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&gt;=3%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490" w:type="pct"/>
            <w:vMerge w:val="continue"/>
            <w:shd w:val="clear" w:color="auto" w:fill="auto"/>
            <w:vAlign w:val="center"/>
          </w:tcPr>
          <w:p>
            <w:pPr>
              <w:keepNext w:val="0"/>
              <w:keepLines w:val="0"/>
              <w:pageBreakBefore w:val="0"/>
              <w:widowControl/>
              <w:kinsoku w:val="0"/>
              <w:wordWrap/>
              <w:overflowPunct/>
              <w:topLinePunct w:val="0"/>
              <w:autoSpaceDE/>
              <w:autoSpaceDN/>
              <w:bidi w:val="0"/>
              <w:adjustRightInd w:val="0"/>
              <w:snapToGrid w:val="0"/>
              <w:spacing w:line="360" w:lineRule="exact"/>
              <w:ind w:firstLine="0" w:firstLineChars="0"/>
              <w:jc w:val="center"/>
              <w:textAlignment w:val="baseline"/>
              <w:rPr>
                <w:rFonts w:hint="eastAsia" w:ascii="Times New Roman" w:hAnsi="Times New Roman" w:eastAsia="宋体" w:cs="宋体"/>
                <w:b w:val="0"/>
                <w:i w:val="0"/>
                <w:iCs w:val="0"/>
                <w:snapToGrid w:val="0"/>
                <w:color w:val="000000"/>
                <w:kern w:val="0"/>
                <w:sz w:val="20"/>
                <w:szCs w:val="18"/>
                <w:u w:val="none"/>
              </w:rPr>
            </w:pPr>
          </w:p>
        </w:tc>
        <w:tc>
          <w:tcPr>
            <w:tcW w:w="536" w:type="pct"/>
            <w:vMerge w:val="continue"/>
            <w:shd w:val="clear" w:color="auto" w:fill="auto"/>
            <w:vAlign w:val="center"/>
          </w:tcPr>
          <w:p>
            <w:pPr>
              <w:keepNext w:val="0"/>
              <w:keepLines w:val="0"/>
              <w:pageBreakBefore w:val="0"/>
              <w:widowControl/>
              <w:kinsoku w:val="0"/>
              <w:wordWrap/>
              <w:overflowPunct/>
              <w:topLinePunct w:val="0"/>
              <w:autoSpaceDE/>
              <w:autoSpaceDN/>
              <w:bidi w:val="0"/>
              <w:adjustRightInd w:val="0"/>
              <w:snapToGrid w:val="0"/>
              <w:spacing w:line="360" w:lineRule="exact"/>
              <w:ind w:firstLine="0" w:firstLineChars="0"/>
              <w:jc w:val="center"/>
              <w:textAlignment w:val="baseline"/>
              <w:rPr>
                <w:rFonts w:hint="eastAsia" w:ascii="Times New Roman" w:hAnsi="Times New Roman" w:eastAsia="宋体" w:cs="宋体"/>
                <w:b w:val="0"/>
                <w:i w:val="0"/>
                <w:iCs w:val="0"/>
                <w:snapToGrid w:val="0"/>
                <w:color w:val="000000"/>
                <w:kern w:val="0"/>
                <w:sz w:val="20"/>
                <w:szCs w:val="18"/>
                <w:u w:val="none"/>
              </w:rPr>
            </w:pPr>
          </w:p>
        </w:tc>
        <w:tc>
          <w:tcPr>
            <w:tcW w:w="2914" w:type="pct"/>
            <w:gridSpan w:val="5"/>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银河培训项目培训人数</w:t>
            </w:r>
          </w:p>
        </w:tc>
        <w:tc>
          <w:tcPr>
            <w:tcW w:w="1059" w:type="pct"/>
            <w:gridSpan w:val="2"/>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&gt;=</w:t>
            </w:r>
            <w:r>
              <w:rPr>
                <w:rFonts w:hint="eastAsia" w:eastAsia="宋体" w:cs="宋体"/>
                <w:b w:val="0"/>
                <w:i w:val="0"/>
                <w:iCs w:val="0"/>
                <w:snapToGrid w:val="0"/>
                <w:color w:val="000000"/>
                <w:kern w:val="0"/>
                <w:sz w:val="20"/>
                <w:szCs w:val="18"/>
                <w:u w:val="none"/>
                <w:lang w:val="en-US" w:eastAsia="zh-CN" w:bidi="ar"/>
              </w:rPr>
              <w:t>150</w:t>
            </w:r>
            <w:r>
              <w:rPr>
                <w:rFonts w:hint="eastAsia" w:ascii="Times New Roman" w:hAnsi="Times New Roman" w:eastAsia="宋体" w:cs="宋体"/>
                <w:b w:val="0"/>
                <w:i w:val="0"/>
                <w:iCs w:val="0"/>
                <w:snapToGrid w:val="0"/>
                <w:color w:val="000000"/>
                <w:kern w:val="0"/>
                <w:sz w:val="20"/>
                <w:szCs w:val="18"/>
                <w:u w:val="none"/>
                <w:lang w:val="en-US" w:eastAsia="zh-CN" w:bidi="ar"/>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490" w:type="pct"/>
            <w:vMerge w:val="continue"/>
            <w:shd w:val="clear" w:color="auto" w:fill="auto"/>
            <w:vAlign w:val="center"/>
          </w:tcPr>
          <w:p>
            <w:pPr>
              <w:keepNext w:val="0"/>
              <w:keepLines w:val="0"/>
              <w:pageBreakBefore w:val="0"/>
              <w:widowControl/>
              <w:kinsoku w:val="0"/>
              <w:wordWrap/>
              <w:overflowPunct/>
              <w:topLinePunct w:val="0"/>
              <w:autoSpaceDE/>
              <w:autoSpaceDN/>
              <w:bidi w:val="0"/>
              <w:adjustRightInd w:val="0"/>
              <w:snapToGrid w:val="0"/>
              <w:spacing w:line="360" w:lineRule="exact"/>
              <w:ind w:firstLine="0" w:firstLineChars="0"/>
              <w:jc w:val="center"/>
              <w:textAlignment w:val="baseline"/>
              <w:rPr>
                <w:rFonts w:hint="eastAsia" w:ascii="Times New Roman" w:hAnsi="Times New Roman" w:eastAsia="宋体" w:cs="宋体"/>
                <w:b w:val="0"/>
                <w:i w:val="0"/>
                <w:iCs w:val="0"/>
                <w:snapToGrid w:val="0"/>
                <w:color w:val="000000"/>
                <w:kern w:val="0"/>
                <w:sz w:val="20"/>
                <w:szCs w:val="18"/>
                <w:u w:val="none"/>
              </w:rPr>
            </w:pPr>
          </w:p>
        </w:tc>
        <w:tc>
          <w:tcPr>
            <w:tcW w:w="536" w:type="pct"/>
            <w:vMerge w:val="continue"/>
            <w:shd w:val="clear" w:color="auto" w:fill="auto"/>
            <w:vAlign w:val="center"/>
          </w:tcPr>
          <w:p>
            <w:pPr>
              <w:keepNext w:val="0"/>
              <w:keepLines w:val="0"/>
              <w:pageBreakBefore w:val="0"/>
              <w:widowControl/>
              <w:kinsoku w:val="0"/>
              <w:wordWrap/>
              <w:overflowPunct/>
              <w:topLinePunct w:val="0"/>
              <w:autoSpaceDE/>
              <w:autoSpaceDN/>
              <w:bidi w:val="0"/>
              <w:adjustRightInd w:val="0"/>
              <w:snapToGrid w:val="0"/>
              <w:spacing w:line="360" w:lineRule="exact"/>
              <w:ind w:firstLine="0" w:firstLineChars="0"/>
              <w:jc w:val="center"/>
              <w:textAlignment w:val="baseline"/>
              <w:rPr>
                <w:rFonts w:hint="eastAsia" w:ascii="Times New Roman" w:hAnsi="Times New Roman" w:eastAsia="宋体" w:cs="宋体"/>
                <w:b w:val="0"/>
                <w:i w:val="0"/>
                <w:iCs w:val="0"/>
                <w:snapToGrid w:val="0"/>
                <w:color w:val="000000"/>
                <w:kern w:val="0"/>
                <w:sz w:val="20"/>
                <w:szCs w:val="18"/>
                <w:u w:val="none"/>
              </w:rPr>
            </w:pPr>
          </w:p>
        </w:tc>
        <w:tc>
          <w:tcPr>
            <w:tcW w:w="2914" w:type="pct"/>
            <w:gridSpan w:val="5"/>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各类政策信息推送数量</w:t>
            </w:r>
          </w:p>
        </w:tc>
        <w:tc>
          <w:tcPr>
            <w:tcW w:w="1059" w:type="pct"/>
            <w:gridSpan w:val="2"/>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&gt;=1200条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jc w:val="center"/>
        </w:trPr>
        <w:tc>
          <w:tcPr>
            <w:tcW w:w="490" w:type="pct"/>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满意度指标</w:t>
            </w:r>
          </w:p>
        </w:tc>
        <w:tc>
          <w:tcPr>
            <w:tcW w:w="536" w:type="pct"/>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满意度指标</w:t>
            </w:r>
          </w:p>
        </w:tc>
        <w:tc>
          <w:tcPr>
            <w:tcW w:w="2914" w:type="pct"/>
            <w:gridSpan w:val="5"/>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企业满意度</w:t>
            </w:r>
          </w:p>
        </w:tc>
        <w:tc>
          <w:tcPr>
            <w:tcW w:w="1059" w:type="pct"/>
            <w:gridSpan w:val="2"/>
            <w:shd w:val="clear" w:color="auto" w:fill="auto"/>
            <w:vAlign w:val="center"/>
          </w:tcPr>
          <w:p>
            <w:pPr>
              <w:keepNext w:val="0"/>
              <w:keepLines w:val="0"/>
              <w:pageBreakBefore w:val="0"/>
              <w:widowControl/>
              <w:suppressLineNumbers w:val="0"/>
              <w:kinsoku w:val="0"/>
              <w:wordWrap/>
              <w:overflowPunct/>
              <w:topLinePunct w:val="0"/>
              <w:autoSpaceDE/>
              <w:autoSpaceDN/>
              <w:bidi w:val="0"/>
              <w:adjustRightInd w:val="0"/>
              <w:snapToGrid w:val="0"/>
              <w:spacing w:line="360" w:lineRule="exact"/>
              <w:ind w:firstLine="0" w:firstLineChars="0"/>
              <w:jc w:val="center"/>
              <w:textAlignment w:val="center"/>
              <w:rPr>
                <w:rFonts w:hint="eastAsia" w:ascii="Times New Roman" w:hAnsi="Times New Roman" w:eastAsia="宋体" w:cs="宋体"/>
                <w:b w:val="0"/>
                <w:i w:val="0"/>
                <w:iCs w:val="0"/>
                <w:snapToGrid w:val="0"/>
                <w:color w:val="000000"/>
                <w:kern w:val="0"/>
                <w:sz w:val="20"/>
                <w:szCs w:val="18"/>
                <w:u w:val="none"/>
              </w:rPr>
            </w:pPr>
            <w:r>
              <w:rPr>
                <w:rFonts w:hint="eastAsia" w:ascii="Times New Roman" w:hAnsi="Times New Roman" w:eastAsia="宋体" w:cs="宋体"/>
                <w:b w:val="0"/>
                <w:i w:val="0"/>
                <w:iCs w:val="0"/>
                <w:snapToGrid w:val="0"/>
                <w:color w:val="000000"/>
                <w:kern w:val="0"/>
                <w:sz w:val="20"/>
                <w:szCs w:val="18"/>
                <w:u w:val="none"/>
                <w:lang w:val="en-US" w:eastAsia="zh-CN" w:bidi="ar"/>
              </w:rPr>
              <w:t>&gt;=90%</w:t>
            </w:r>
          </w:p>
        </w:tc>
      </w:tr>
    </w:tbl>
    <w:p>
      <w:pPr>
        <w:keepNext/>
        <w:widowControl w:val="0"/>
        <w:kinsoku w:val="0"/>
        <w:autoSpaceDE/>
        <w:autoSpaceDN/>
        <w:bidi w:val="0"/>
        <w:adjustRightInd w:val="0"/>
        <w:snapToGrid w:val="0"/>
        <w:spacing w:line="560" w:lineRule="exact"/>
        <w:ind w:firstLine="640" w:firstLineChars="200"/>
        <w:jc w:val="both"/>
        <w:textAlignment w:val="baseline"/>
        <w:outlineLvl w:val="2"/>
        <w:rPr>
          <w:rFonts w:hint="eastAsia" w:ascii="Times New Roman" w:hAnsi="Times New Roman" w:eastAsia="方正楷体_GB2312" w:cs="Times New Roman"/>
          <w:bCs/>
          <w:snapToGrid w:val="0"/>
          <w:color w:val="auto"/>
          <w:kern w:val="0"/>
          <w:sz w:val="32"/>
          <w:szCs w:val="28"/>
          <w:highlight w:val="none"/>
          <w:lang w:val="en-US" w:eastAsia="zh-CN" w:bidi="ar-SA"/>
        </w:rPr>
      </w:pPr>
      <w:r>
        <w:rPr>
          <w:rFonts w:hint="eastAsia" w:ascii="Times New Roman" w:hAnsi="Times New Roman" w:eastAsia="方正楷体_GB2312" w:cs="Times New Roman"/>
          <w:bCs/>
          <w:snapToGrid w:val="0"/>
          <w:color w:val="auto"/>
          <w:kern w:val="0"/>
          <w:sz w:val="32"/>
          <w:szCs w:val="28"/>
          <w:highlight w:val="none"/>
          <w:lang w:val="en-US" w:eastAsia="zh-CN" w:bidi="ar-SA"/>
        </w:rPr>
        <w:t>（二）自治区分解下达预算情况</w:t>
      </w:r>
    </w:p>
    <w:p>
      <w:pPr>
        <w:bidi w:val="0"/>
      </w:pPr>
      <w:r>
        <w:rPr>
          <w:rFonts w:hint="eastAsia"/>
        </w:rPr>
        <w:t>自治区本级的6450万元资金，安排自治区工信厅机关6200万元</w:t>
      </w:r>
      <w:r>
        <w:rPr>
          <w:rFonts w:hint="eastAsia"/>
          <w:lang w:eastAsia="zh-CN"/>
        </w:rPr>
        <w:t>，</w:t>
      </w:r>
      <w:r>
        <w:rPr>
          <w:rFonts w:hint="eastAsia"/>
          <w:lang w:val="en-US" w:eastAsia="zh-CN"/>
        </w:rPr>
        <w:t>其中</w:t>
      </w:r>
      <w:r>
        <w:rPr>
          <w:rFonts w:hint="eastAsia"/>
        </w:rPr>
        <w:t>；安排自治区中小企业发展专项资金专精特新培育项目奖励资金578</w:t>
      </w:r>
      <w:r>
        <w:rPr>
          <w:rFonts w:hint="eastAsia"/>
          <w:lang w:val="en-US" w:eastAsia="zh-CN"/>
        </w:rPr>
        <w:t>5</w:t>
      </w:r>
      <w:r>
        <w:rPr>
          <w:rFonts w:hint="eastAsia"/>
        </w:rPr>
        <w:t>万元，用于支持我区新认定的专精特新“小巨人”企业、自治区专精特新中小企业、国家级中小企业特色产业集群；安排自治区中小企业服务中心250万元，主要用于自治区中小企业公共服务平台网络枢纽平台维护经费。</w:t>
      </w:r>
    </w:p>
    <w:p>
      <w:pPr>
        <w:keepNext/>
        <w:widowControl w:val="0"/>
        <w:kinsoku w:val="0"/>
        <w:autoSpaceDE/>
        <w:autoSpaceDN/>
        <w:bidi w:val="0"/>
        <w:adjustRightInd w:val="0"/>
        <w:snapToGrid w:val="0"/>
        <w:spacing w:line="600" w:lineRule="exact"/>
        <w:ind w:firstLine="640" w:firstLineChars="200"/>
        <w:jc w:val="both"/>
        <w:textAlignment w:val="baseline"/>
        <w:outlineLvl w:val="1"/>
        <w:rPr>
          <w:rFonts w:hint="eastAsia" w:ascii="Times New Roman" w:hAnsi="Times New Roman" w:eastAsia="黑体" w:cs="Times New Roman"/>
          <w:bCs/>
          <w:iCs/>
          <w:snapToGrid w:val="0"/>
          <w:color w:val="auto"/>
          <w:kern w:val="0"/>
          <w:sz w:val="32"/>
          <w:szCs w:val="36"/>
          <w:highlight w:val="none"/>
          <w:lang w:val="en-US" w:eastAsia="zh-CN" w:bidi="ar-SA"/>
        </w:rPr>
      </w:pPr>
      <w:r>
        <w:rPr>
          <w:rFonts w:hint="eastAsia" w:ascii="Times New Roman" w:hAnsi="Times New Roman" w:eastAsia="黑体" w:cs="Times New Roman"/>
          <w:bCs/>
          <w:iCs/>
          <w:snapToGrid w:val="0"/>
          <w:color w:val="auto"/>
          <w:kern w:val="0"/>
          <w:sz w:val="32"/>
          <w:szCs w:val="36"/>
          <w:highlight w:val="none"/>
          <w:lang w:val="en-US" w:eastAsia="zh-CN" w:bidi="ar-SA"/>
        </w:rPr>
        <w:t>二、绩效目标完成情况分析</w:t>
      </w:r>
    </w:p>
    <w:p>
      <w:pPr>
        <w:keepNext/>
        <w:widowControl w:val="0"/>
        <w:kinsoku w:val="0"/>
        <w:autoSpaceDE/>
        <w:autoSpaceDN/>
        <w:bidi w:val="0"/>
        <w:adjustRightInd w:val="0"/>
        <w:snapToGrid w:val="0"/>
        <w:spacing w:line="560" w:lineRule="exact"/>
        <w:ind w:firstLine="640" w:firstLineChars="200"/>
        <w:jc w:val="both"/>
        <w:textAlignment w:val="baseline"/>
        <w:outlineLvl w:val="2"/>
        <w:rPr>
          <w:rFonts w:hint="default" w:ascii="Times New Roman" w:hAnsi="Times New Roman" w:eastAsia="仿宋_GB2312" w:cs="Times New Roman"/>
          <w:bCs/>
          <w:snapToGrid w:val="0"/>
          <w:color w:val="auto"/>
          <w:kern w:val="0"/>
          <w:sz w:val="32"/>
          <w:szCs w:val="28"/>
          <w:highlight w:val="none"/>
          <w:lang w:val="en-US" w:eastAsia="zh-CN" w:bidi="ar-SA"/>
        </w:rPr>
      </w:pPr>
      <w:r>
        <w:rPr>
          <w:rFonts w:hint="eastAsia" w:ascii="Times New Roman" w:hAnsi="Times New Roman" w:eastAsia="方正楷体_GB2312" w:cs="Times New Roman"/>
          <w:bCs/>
          <w:snapToGrid w:val="0"/>
          <w:color w:val="auto"/>
          <w:kern w:val="0"/>
          <w:sz w:val="32"/>
          <w:szCs w:val="28"/>
          <w:highlight w:val="none"/>
          <w:lang w:val="en-US" w:eastAsia="zh-CN" w:bidi="ar-SA"/>
        </w:rPr>
        <w:t>（一）资金投入情况分析</w:t>
      </w:r>
    </w:p>
    <w:p>
      <w:pPr>
        <w:pStyle w:val="7"/>
        <w:bidi w:val="0"/>
        <w:rPr>
          <w:rFonts w:hint="eastAsia"/>
        </w:rPr>
      </w:pPr>
      <w:r>
        <w:rPr>
          <w:rFonts w:hint="eastAsia"/>
        </w:rPr>
        <w:t>1.项目资金到位情况分析</w:t>
      </w:r>
    </w:p>
    <w:p>
      <w:pPr>
        <w:bidi w:val="0"/>
      </w:pPr>
      <w:r>
        <w:rPr>
          <w:rFonts w:hint="eastAsia"/>
        </w:rPr>
        <w:t>2024年度自治区中小企业发展专项</w:t>
      </w:r>
      <w:r>
        <w:rPr>
          <w:rFonts w:hint="eastAsia"/>
          <w:lang w:eastAsia="zh-CN"/>
        </w:rPr>
        <w:t>（</w:t>
      </w:r>
      <w:r>
        <w:rPr>
          <w:rFonts w:hint="eastAsia"/>
          <w:lang w:val="en-US" w:eastAsia="zh-CN"/>
        </w:rPr>
        <w:t>自治区本级</w:t>
      </w:r>
      <w:r>
        <w:rPr>
          <w:rFonts w:hint="eastAsia"/>
          <w:lang w:eastAsia="zh-CN"/>
        </w:rPr>
        <w:t>）</w:t>
      </w:r>
      <w:r>
        <w:rPr>
          <w:rFonts w:hint="eastAsia"/>
          <w:lang w:val="en-US" w:eastAsia="zh-CN"/>
        </w:rPr>
        <w:t>预算资金共计6450万元，资金到位6450万元</w:t>
      </w:r>
      <w:r>
        <w:rPr>
          <w:rFonts w:hint="eastAsia"/>
        </w:rPr>
        <w:t>，到位率100%。其中，自治区中小企业发展专项资金专精特新培育项目奖励资金578</w:t>
      </w:r>
      <w:r>
        <w:rPr>
          <w:rFonts w:hint="eastAsia"/>
          <w:lang w:val="en-US" w:eastAsia="zh-CN"/>
        </w:rPr>
        <w:t>5</w:t>
      </w:r>
      <w:r>
        <w:rPr>
          <w:rFonts w:hint="eastAsia"/>
        </w:rPr>
        <w:t>万元，用于支持我区新认定的专精特新“小巨人”企业、自治区专精特新中小企业、国家级中小企业特色产业集群；安排自治区中小企业服务中心250万元，主要用于自治区中小企业公共服务平台网络枢纽平台维护经费。</w:t>
      </w:r>
    </w:p>
    <w:p>
      <w:pPr>
        <w:pStyle w:val="7"/>
        <w:bidi w:val="0"/>
        <w:rPr>
          <w:rFonts w:hint="default"/>
          <w:lang w:val="en-US" w:eastAsia="zh-CN"/>
        </w:rPr>
      </w:pPr>
      <w:r>
        <w:rPr>
          <w:rFonts w:hint="eastAsia"/>
          <w:lang w:val="en-US" w:eastAsia="zh-CN"/>
        </w:rPr>
        <w:t>2.资金执行情况分析</w:t>
      </w:r>
    </w:p>
    <w:p>
      <w:pPr>
        <w:bidi w:val="0"/>
      </w:pPr>
      <w:r>
        <w:rPr>
          <w:rFonts w:hint="eastAsia"/>
        </w:rPr>
        <w:t>2024年度自治区中小企业发展专项</w:t>
      </w:r>
      <w:r>
        <w:rPr>
          <w:rFonts w:hint="eastAsia"/>
          <w:lang w:eastAsia="zh-CN"/>
        </w:rPr>
        <w:t>（</w:t>
      </w:r>
      <w:r>
        <w:rPr>
          <w:rFonts w:hint="eastAsia"/>
          <w:lang w:val="en-US" w:eastAsia="zh-CN"/>
        </w:rPr>
        <w:t>自治区本级</w:t>
      </w:r>
      <w:r>
        <w:rPr>
          <w:rFonts w:hint="eastAsia"/>
          <w:lang w:eastAsia="zh-CN"/>
        </w:rPr>
        <w:t>）</w:t>
      </w:r>
      <w:r>
        <w:rPr>
          <w:rFonts w:hint="eastAsia"/>
        </w:rPr>
        <w:t>预算资金共计</w:t>
      </w:r>
      <w:r>
        <w:rPr>
          <w:rFonts w:hint="eastAsia"/>
          <w:lang w:val="en-US" w:eastAsia="zh-CN"/>
        </w:rPr>
        <w:t>6450</w:t>
      </w:r>
      <w:r>
        <w:rPr>
          <w:rFonts w:hint="eastAsia"/>
        </w:rPr>
        <w:t>元，执行6446.872万元，执行率99.9</w:t>
      </w:r>
      <w:r>
        <w:rPr>
          <w:rFonts w:hint="eastAsia"/>
          <w:lang w:val="en-US" w:eastAsia="zh-CN"/>
        </w:rPr>
        <w:t>5</w:t>
      </w:r>
      <w:r>
        <w:rPr>
          <w:rFonts w:hint="eastAsia"/>
        </w:rPr>
        <w:t>%。</w:t>
      </w:r>
    </w:p>
    <w:p>
      <w:pPr>
        <w:keepNext/>
        <w:widowControl w:val="0"/>
        <w:kinsoku w:val="0"/>
        <w:autoSpaceDE/>
        <w:autoSpaceDN/>
        <w:bidi w:val="0"/>
        <w:adjustRightInd w:val="0"/>
        <w:snapToGrid w:val="0"/>
        <w:spacing w:line="560" w:lineRule="exact"/>
        <w:ind w:firstLine="640" w:firstLineChars="200"/>
        <w:jc w:val="both"/>
        <w:textAlignment w:val="baseline"/>
        <w:outlineLvl w:val="2"/>
        <w:rPr>
          <w:rFonts w:hint="eastAsia" w:ascii="Times New Roman" w:hAnsi="Times New Roman" w:eastAsia="方正楷体_GB2312" w:cs="Times New Roman"/>
          <w:bCs/>
          <w:snapToGrid w:val="0"/>
          <w:color w:val="auto"/>
          <w:kern w:val="0"/>
          <w:sz w:val="32"/>
          <w:szCs w:val="28"/>
          <w:highlight w:val="none"/>
          <w:lang w:val="en-US" w:eastAsia="zh-CN" w:bidi="ar-SA"/>
        </w:rPr>
      </w:pPr>
      <w:r>
        <w:rPr>
          <w:rFonts w:hint="eastAsia" w:ascii="Times New Roman" w:hAnsi="Times New Roman" w:eastAsia="方正楷体_GB2312" w:cs="Times New Roman"/>
          <w:bCs/>
          <w:snapToGrid w:val="0"/>
          <w:color w:val="auto"/>
          <w:kern w:val="0"/>
          <w:sz w:val="32"/>
          <w:szCs w:val="28"/>
          <w:highlight w:val="none"/>
          <w:lang w:val="en-US" w:eastAsia="zh-CN" w:bidi="ar-SA"/>
        </w:rPr>
        <w:t>（二）项目资金管理情况分析</w:t>
      </w:r>
    </w:p>
    <w:p>
      <w:pPr>
        <w:kinsoku w:val="0"/>
        <w:autoSpaceDE/>
        <w:autoSpaceDN/>
        <w:bidi w:val="0"/>
        <w:adjustRightInd w:val="0"/>
        <w:snapToGrid w:val="0"/>
        <w:ind w:firstLine="720"/>
        <w:textAlignment w:val="baseline"/>
        <w:rPr>
          <w:rFonts w:hint="eastAsia" w:ascii="Times New Roman" w:hAnsi="Times New Roman" w:cs="Arial"/>
          <w:snapToGrid w:val="0"/>
          <w:color w:val="auto"/>
          <w:kern w:val="0"/>
          <w:szCs w:val="21"/>
          <w:highlight w:val="none"/>
        </w:rPr>
      </w:pPr>
      <w:r>
        <w:rPr>
          <w:rFonts w:hint="eastAsia" w:ascii="Times New Roman" w:hAnsi="Times New Roman" w:cs="Arial"/>
          <w:snapToGrid w:val="0"/>
          <w:color w:val="auto"/>
          <w:kern w:val="0"/>
          <w:szCs w:val="21"/>
          <w:highlight w:val="none"/>
        </w:rPr>
        <w:t>为保证资金项目安排公平、公正、科学、规范，从资金支持对象、支持范围、支持内容及标准、申报条件、申报材料、项目申请、审核及拨付程序、监督管理与绩效评价等方面进行了明确规定，在评审及核拨过程中，严格按程序执行，做到依法依规使用资金。总体来看，本项目资金的整体管理水平较高，做到了专款专用、及时拨付、规范支付，各项目主体绩效目标完成情况较好，保障中小企业发展专项资金支付需求，确保项目顺利实施。</w:t>
      </w:r>
    </w:p>
    <w:p>
      <w:pPr>
        <w:kinsoku w:val="0"/>
        <w:autoSpaceDE/>
        <w:autoSpaceDN/>
        <w:bidi w:val="0"/>
        <w:adjustRightInd w:val="0"/>
        <w:snapToGrid w:val="0"/>
        <w:ind w:firstLine="720"/>
        <w:textAlignment w:val="baseline"/>
        <w:rPr>
          <w:rFonts w:hint="eastAsia" w:ascii="Times New Roman" w:hAnsi="Times New Roman" w:cs="Arial"/>
          <w:snapToGrid w:val="0"/>
          <w:color w:val="auto"/>
          <w:kern w:val="0"/>
          <w:szCs w:val="21"/>
          <w:highlight w:val="none"/>
        </w:rPr>
      </w:pPr>
      <w:r>
        <w:rPr>
          <w:rFonts w:hint="eastAsia" w:ascii="Times New Roman" w:hAnsi="Times New Roman" w:cs="Times New Roman"/>
          <w:b/>
          <w:bCs/>
          <w:snapToGrid w:val="0"/>
          <w:color w:val="auto"/>
          <w:sz w:val="32"/>
          <w:szCs w:val="32"/>
          <w:highlight w:val="none"/>
        </w:rPr>
        <w:t>1.分配科学性：</w:t>
      </w:r>
      <w:r>
        <w:rPr>
          <w:rFonts w:hint="eastAsia" w:ascii="Times New Roman" w:hAnsi="Times New Roman" w:cs="Arial"/>
          <w:snapToGrid w:val="0"/>
          <w:color w:val="auto"/>
          <w:kern w:val="0"/>
          <w:szCs w:val="21"/>
          <w:highlight w:val="none"/>
        </w:rPr>
        <w:t>资金分配科学合理。自治区工信厅会同财政厅按照项目分配法和因素分配法制定了项目资金分配方案，提出资金使用范围及用途。专项资金的管理和使用符合国家和自治区宏观经济政策、产业政策和区域发展政策，坚持公开、公正、公平的原则，确保专项资金规范、安全和高效。</w:t>
      </w:r>
    </w:p>
    <w:p>
      <w:pPr>
        <w:kinsoku w:val="0"/>
        <w:autoSpaceDE/>
        <w:autoSpaceDN/>
        <w:bidi w:val="0"/>
        <w:adjustRightInd w:val="0"/>
        <w:snapToGrid w:val="0"/>
        <w:ind w:firstLine="720"/>
        <w:textAlignment w:val="baseline"/>
        <w:rPr>
          <w:rFonts w:hint="eastAsia" w:ascii="Times New Roman" w:hAnsi="Times New Roman" w:cs="Arial"/>
          <w:snapToGrid w:val="0"/>
          <w:color w:val="auto"/>
          <w:kern w:val="0"/>
          <w:szCs w:val="21"/>
          <w:highlight w:val="none"/>
        </w:rPr>
      </w:pPr>
      <w:r>
        <w:rPr>
          <w:rFonts w:hint="eastAsia" w:ascii="Times New Roman" w:hAnsi="Times New Roman" w:cs="Times New Roman"/>
          <w:b/>
          <w:bCs/>
          <w:snapToGrid w:val="0"/>
          <w:color w:val="auto"/>
          <w:sz w:val="32"/>
          <w:szCs w:val="32"/>
          <w:highlight w:val="none"/>
        </w:rPr>
        <w:t>2.下达及时性：</w:t>
      </w:r>
      <w:r>
        <w:rPr>
          <w:rFonts w:hint="eastAsia" w:ascii="Times New Roman" w:hAnsi="Times New Roman" w:cs="Arial"/>
          <w:snapToGrid w:val="0"/>
          <w:color w:val="auto"/>
          <w:kern w:val="0"/>
          <w:szCs w:val="21"/>
          <w:highlight w:val="none"/>
        </w:rPr>
        <w:t>资金及时下达。优化资金逐级下拨流程，加强部门间的沟通协作，优化资金下拨路径，资金下拨通道畅通，中央资金下达后，自治区30日内下达至地（州、市），地（州、市）财政局30日内下达项目承担单位。</w:t>
      </w:r>
    </w:p>
    <w:p>
      <w:pPr>
        <w:kinsoku w:val="0"/>
        <w:autoSpaceDE/>
        <w:autoSpaceDN/>
        <w:bidi w:val="0"/>
        <w:adjustRightInd w:val="0"/>
        <w:snapToGrid w:val="0"/>
        <w:ind w:firstLine="720"/>
        <w:textAlignment w:val="baseline"/>
        <w:rPr>
          <w:rFonts w:hint="eastAsia" w:ascii="Times New Roman" w:hAnsi="Times New Roman" w:cs="Arial"/>
          <w:snapToGrid w:val="0"/>
          <w:color w:val="auto"/>
          <w:w w:val="100"/>
          <w:kern w:val="0"/>
          <w:sz w:val="32"/>
          <w:szCs w:val="21"/>
          <w:highlight w:val="none"/>
        </w:rPr>
      </w:pPr>
      <w:r>
        <w:rPr>
          <w:rFonts w:hint="eastAsia" w:ascii="Times New Roman" w:hAnsi="Times New Roman" w:cs="Times New Roman"/>
          <w:b/>
          <w:bCs/>
          <w:snapToGrid w:val="0"/>
          <w:color w:val="auto"/>
          <w:w w:val="100"/>
          <w:sz w:val="32"/>
          <w:szCs w:val="32"/>
          <w:highlight w:val="none"/>
        </w:rPr>
        <w:t>3.拨付合规性：</w:t>
      </w:r>
      <w:r>
        <w:rPr>
          <w:rFonts w:hint="eastAsia" w:ascii="Times New Roman" w:hAnsi="Times New Roman" w:cs="Arial"/>
          <w:snapToGrid w:val="0"/>
          <w:color w:val="auto"/>
          <w:w w:val="100"/>
          <w:kern w:val="0"/>
          <w:sz w:val="32"/>
          <w:szCs w:val="21"/>
          <w:highlight w:val="none"/>
        </w:rPr>
        <w:t>资金拨付合法合规。从资金支持对象、支持范围、支持内容及标准、申报条件、申报材料、项目申请、审核及拨付程序、监督管理与绩效评价等方面进行了明确规定。财政厅会同工信厅明确年度专项资金额度，确定专项资金支出方向、支持方式及支持标准、审核专项资金分配建议方案，按程序下达预算、绩效目标并拨付资金，组织开展预算绩效和资金监管工作。</w:t>
      </w:r>
    </w:p>
    <w:p>
      <w:pPr>
        <w:kinsoku w:val="0"/>
        <w:autoSpaceDE/>
        <w:autoSpaceDN/>
        <w:bidi w:val="0"/>
        <w:adjustRightInd w:val="0"/>
        <w:snapToGrid w:val="0"/>
        <w:ind w:firstLine="720"/>
        <w:textAlignment w:val="baseline"/>
        <w:rPr>
          <w:rFonts w:hint="eastAsia" w:ascii="Times New Roman" w:hAnsi="Times New Roman" w:cs="Arial"/>
          <w:snapToGrid w:val="0"/>
          <w:color w:val="auto"/>
          <w:kern w:val="0"/>
          <w:szCs w:val="21"/>
          <w:highlight w:val="none"/>
        </w:rPr>
      </w:pPr>
      <w:r>
        <w:rPr>
          <w:rFonts w:hint="eastAsia" w:ascii="Times New Roman" w:hAnsi="Times New Roman" w:cs="Times New Roman"/>
          <w:b/>
          <w:bCs/>
          <w:snapToGrid w:val="0"/>
          <w:color w:val="auto"/>
          <w:sz w:val="32"/>
          <w:szCs w:val="32"/>
          <w:highlight w:val="none"/>
        </w:rPr>
        <w:t>4.使用规范性：</w:t>
      </w:r>
      <w:r>
        <w:rPr>
          <w:rFonts w:hint="eastAsia" w:ascii="Times New Roman" w:hAnsi="Times New Roman" w:cs="Arial"/>
          <w:snapToGrid w:val="0"/>
          <w:color w:val="auto"/>
          <w:kern w:val="0"/>
          <w:szCs w:val="21"/>
          <w:highlight w:val="none"/>
        </w:rPr>
        <w:t>资金使用规范。各项目单位对项目资金进行严格管理，规范资金使用程序、专款专用，把奖补资金用在实处，提高资金的使用效益。各项目单位能够严格按照下达预算的科目和项目执行，未出现截留、挤占、挪用和擅自调整等问题。</w:t>
      </w:r>
    </w:p>
    <w:p>
      <w:pPr>
        <w:kinsoku w:val="0"/>
        <w:autoSpaceDE/>
        <w:autoSpaceDN/>
        <w:bidi w:val="0"/>
        <w:adjustRightInd w:val="0"/>
        <w:snapToGrid w:val="0"/>
        <w:ind w:firstLine="720"/>
        <w:textAlignment w:val="baseline"/>
        <w:rPr>
          <w:rFonts w:hint="eastAsia" w:ascii="Times New Roman" w:hAnsi="Times New Roman" w:cs="Arial"/>
          <w:snapToGrid w:val="0"/>
          <w:color w:val="auto"/>
          <w:kern w:val="0"/>
          <w:szCs w:val="21"/>
          <w:highlight w:val="none"/>
        </w:rPr>
      </w:pPr>
      <w:r>
        <w:rPr>
          <w:rFonts w:hint="eastAsia" w:ascii="Times New Roman" w:hAnsi="Times New Roman" w:cs="Times New Roman"/>
          <w:b/>
          <w:bCs/>
          <w:snapToGrid w:val="0"/>
          <w:color w:val="auto"/>
          <w:sz w:val="32"/>
          <w:szCs w:val="32"/>
          <w:highlight w:val="none"/>
        </w:rPr>
        <w:t>5.执行准确性：</w:t>
      </w:r>
      <w:r>
        <w:rPr>
          <w:rFonts w:hint="eastAsia" w:ascii="Times New Roman" w:hAnsi="Times New Roman" w:cs="Arial"/>
          <w:snapToGrid w:val="0"/>
          <w:color w:val="auto"/>
          <w:kern w:val="0"/>
          <w:szCs w:val="21"/>
          <w:highlight w:val="none"/>
        </w:rPr>
        <w:t>项目资金执行较好，在评审及核拨过程中，严格按程序执行，做到依法依规使用资金。各项目单位能够按照上级下达和本级预算安排的金额执行，不存在执行数偏离预算数较多的问题。</w:t>
      </w:r>
    </w:p>
    <w:p>
      <w:pPr>
        <w:kinsoku w:val="0"/>
        <w:autoSpaceDE/>
        <w:autoSpaceDN/>
        <w:bidi w:val="0"/>
        <w:adjustRightInd w:val="0"/>
        <w:snapToGrid w:val="0"/>
        <w:ind w:firstLine="720"/>
        <w:textAlignment w:val="baseline"/>
        <w:rPr>
          <w:rFonts w:hint="eastAsia" w:ascii="Times New Roman" w:hAnsi="Times New Roman" w:cs="Arial"/>
          <w:snapToGrid w:val="0"/>
          <w:color w:val="auto"/>
          <w:kern w:val="0"/>
          <w:szCs w:val="21"/>
          <w:highlight w:val="none"/>
        </w:rPr>
      </w:pPr>
      <w:r>
        <w:rPr>
          <w:rFonts w:hint="eastAsia" w:ascii="Times New Roman" w:hAnsi="Times New Roman" w:cs="Times New Roman"/>
          <w:b/>
          <w:bCs/>
          <w:snapToGrid w:val="0"/>
          <w:color w:val="auto"/>
          <w:sz w:val="32"/>
          <w:szCs w:val="32"/>
          <w:highlight w:val="none"/>
        </w:rPr>
        <w:t>6.预算绩效管理情况：</w:t>
      </w:r>
      <w:r>
        <w:rPr>
          <w:rFonts w:hint="eastAsia" w:ascii="Times New Roman" w:hAnsi="Times New Roman" w:cs="Arial"/>
          <w:snapToGrid w:val="0"/>
          <w:color w:val="auto"/>
          <w:kern w:val="0"/>
          <w:szCs w:val="21"/>
          <w:highlight w:val="none"/>
        </w:rPr>
        <w:t>按照《中共中央国务院关于全面实施预算绩效管理的意见》《关于印发&lt;自治区本级部门预算绩效目标管理办法&gt;的通知》（新财预〔2017〕21号）、《关于印发&lt;新疆维吾尔自治区农业相关转移支付资金绩效管理办法实施细则&gt;的通知》（新财规〔2020〕15号）等相关文件要求，自治区工信厅强化资金使用监管，严格执行有关财经制度，进一步加强预算绩效管理，在预算执行中做好绩效监控，预算执行完做好绩效评价，切实提高财政资金使用效益，确保资金安全规范使用，确保年度绩效目标如期实现。按规定进行绩效目标建立、监控及自评，严格落实国家、自治区、地（州、市）三级绩效目标，研究制定完整、科学、可衡量，且充分体现专项资金政策意图的绩效目标。各地（州、市）财政部门与同级工信部门按程序下达预算、绩效目标并拨付资金，组织开展预算绩效和资金监管工作，各项目主体绩效目标完成情况较好，确保项目顺利实施。</w:t>
      </w:r>
    </w:p>
    <w:p>
      <w:pPr>
        <w:kinsoku w:val="0"/>
        <w:autoSpaceDE/>
        <w:autoSpaceDN/>
        <w:bidi w:val="0"/>
        <w:adjustRightInd w:val="0"/>
        <w:snapToGrid w:val="0"/>
        <w:ind w:firstLine="720"/>
        <w:textAlignment w:val="baseline"/>
        <w:rPr>
          <w:rFonts w:hint="eastAsia" w:ascii="Times New Roman" w:hAnsi="Times New Roman" w:cs="Arial"/>
          <w:snapToGrid w:val="0"/>
          <w:color w:val="auto"/>
          <w:kern w:val="0"/>
          <w:szCs w:val="21"/>
          <w:highlight w:val="none"/>
        </w:rPr>
      </w:pPr>
      <w:r>
        <w:rPr>
          <w:rFonts w:hint="eastAsia" w:ascii="Times New Roman" w:hAnsi="Times New Roman" w:cs="Times New Roman"/>
          <w:b/>
          <w:bCs/>
          <w:snapToGrid w:val="0"/>
          <w:color w:val="auto"/>
          <w:sz w:val="32"/>
          <w:szCs w:val="32"/>
          <w:highlight w:val="none"/>
        </w:rPr>
        <w:t>7.支出责任履行情况：</w:t>
      </w:r>
      <w:r>
        <w:rPr>
          <w:rFonts w:hint="eastAsia" w:ascii="Times New Roman" w:hAnsi="Times New Roman" w:cs="Arial"/>
          <w:snapToGrid w:val="0"/>
          <w:color w:val="auto"/>
          <w:kern w:val="0"/>
          <w:szCs w:val="21"/>
          <w:highlight w:val="none"/>
        </w:rPr>
        <w:t>根据政策规定的标准，审核中小企业发展专项资金项目的申请资料，补贴对象符合政策要求，遵循公开、公正、公平的原则；财政部门和工信部门建立健全中小企业发展专项资金管理制度，资金使用合理、透明、安全；各级中小企业主管部门定期对中小企业发展专项资金政策进行评估和调整，及时总结经验和问题，不断完善政策措施，促进新疆中小企业高质量发展。</w:t>
      </w:r>
    </w:p>
    <w:p>
      <w:pPr>
        <w:keepNext/>
        <w:widowControl w:val="0"/>
        <w:kinsoku w:val="0"/>
        <w:autoSpaceDE/>
        <w:autoSpaceDN/>
        <w:bidi w:val="0"/>
        <w:adjustRightInd w:val="0"/>
        <w:snapToGrid w:val="0"/>
        <w:spacing w:line="560" w:lineRule="exact"/>
        <w:ind w:firstLine="640" w:firstLineChars="200"/>
        <w:jc w:val="both"/>
        <w:textAlignment w:val="baseline"/>
        <w:outlineLvl w:val="2"/>
        <w:rPr>
          <w:rFonts w:hint="eastAsia" w:ascii="Times New Roman" w:hAnsi="Times New Roman" w:eastAsia="仿宋_GB2312" w:cs="Times New Roman"/>
          <w:bCs/>
          <w:snapToGrid w:val="0"/>
          <w:color w:val="auto"/>
          <w:kern w:val="0"/>
          <w:sz w:val="32"/>
          <w:szCs w:val="28"/>
          <w:highlight w:val="none"/>
          <w:lang w:val="en-US" w:eastAsia="zh-CN" w:bidi="ar-SA"/>
        </w:rPr>
      </w:pPr>
      <w:r>
        <w:rPr>
          <w:rFonts w:hint="eastAsia" w:ascii="Times New Roman" w:hAnsi="Times New Roman" w:eastAsia="方正楷体_GB2312" w:cs="Times New Roman"/>
          <w:bCs/>
          <w:snapToGrid w:val="0"/>
          <w:color w:val="auto"/>
          <w:kern w:val="0"/>
          <w:sz w:val="32"/>
          <w:szCs w:val="28"/>
          <w:highlight w:val="none"/>
          <w:lang w:val="en-US" w:eastAsia="zh-CN" w:bidi="ar-SA"/>
        </w:rPr>
        <w:t>（三）总体绩效目标完成情况分析</w:t>
      </w:r>
    </w:p>
    <w:p>
      <w:pPr>
        <w:bidi w:val="0"/>
      </w:pPr>
      <w:r>
        <w:rPr>
          <w:rFonts w:hint="eastAsia"/>
        </w:rPr>
        <w:t>奖励专精特新“小巨人”企业数量9家，奖励自治区专精特新中小企业数量20</w:t>
      </w:r>
      <w:r>
        <w:rPr>
          <w:rFonts w:hint="eastAsia"/>
          <w:lang w:val="en-US" w:eastAsia="zh-CN"/>
        </w:rPr>
        <w:t>2</w:t>
      </w:r>
      <w:r>
        <w:rPr>
          <w:rFonts w:hint="eastAsia"/>
        </w:rPr>
        <w:t>家，奖励国家中小企业特色产业集群2个，注册报名参加第九届“创客中国”创新创业大赛新疆区域赛项目462个，组织参加第十九届中博会企业数量32家，支持银河培训机构3个，保障中小企业发展服务平台系统1个，资金拨付及时率100%。第十九届中博会同国内企业协议签约额1433万，有效提高企业经营水平，被服务对象满意率91%，基本达到了年度预定目标。</w:t>
      </w:r>
    </w:p>
    <w:p>
      <w:pPr>
        <w:keepNext/>
        <w:widowControl w:val="0"/>
        <w:kinsoku w:val="0"/>
        <w:autoSpaceDE/>
        <w:autoSpaceDN/>
        <w:bidi w:val="0"/>
        <w:adjustRightInd w:val="0"/>
        <w:snapToGrid w:val="0"/>
        <w:spacing w:line="560" w:lineRule="exact"/>
        <w:ind w:firstLine="640" w:firstLineChars="200"/>
        <w:jc w:val="both"/>
        <w:textAlignment w:val="baseline"/>
        <w:outlineLvl w:val="2"/>
        <w:rPr>
          <w:rFonts w:hint="eastAsia" w:ascii="Times New Roman" w:hAnsi="Times New Roman" w:eastAsia="仿宋_GB2312" w:cs="Times New Roman"/>
          <w:bCs/>
          <w:snapToGrid w:val="0"/>
          <w:color w:val="auto"/>
          <w:kern w:val="0"/>
          <w:sz w:val="32"/>
          <w:szCs w:val="28"/>
          <w:highlight w:val="none"/>
          <w:lang w:val="en-US" w:eastAsia="zh-CN" w:bidi="ar-SA"/>
        </w:rPr>
      </w:pPr>
      <w:r>
        <w:rPr>
          <w:rFonts w:hint="eastAsia" w:ascii="Times New Roman" w:hAnsi="Times New Roman" w:eastAsia="方正楷体_GB2312" w:cs="Times New Roman"/>
          <w:bCs/>
          <w:snapToGrid w:val="0"/>
          <w:color w:val="auto"/>
          <w:kern w:val="0"/>
          <w:sz w:val="32"/>
          <w:szCs w:val="28"/>
          <w:highlight w:val="none"/>
          <w:lang w:val="en-US" w:eastAsia="zh-CN" w:bidi="ar-SA"/>
        </w:rPr>
        <w:t>（四）项目绩效指标完成情况分析</w:t>
      </w:r>
    </w:p>
    <w:p>
      <w:pPr>
        <w:pStyle w:val="7"/>
        <w:bidi w:val="0"/>
        <w:rPr>
          <w:rFonts w:hint="default"/>
          <w:lang w:val="en-US" w:eastAsia="zh-CN"/>
        </w:rPr>
      </w:pPr>
      <w:r>
        <w:rPr>
          <w:rFonts w:hint="eastAsia"/>
          <w:lang w:val="en-US" w:eastAsia="zh-CN"/>
        </w:rPr>
        <w:t>1.产出指标完成情况</w:t>
      </w:r>
    </w:p>
    <w:p>
      <w:pPr>
        <w:bidi w:val="0"/>
        <w:rPr>
          <w:rFonts w:hint="eastAsia"/>
          <w:b/>
          <w:bCs/>
          <w:lang w:eastAsia="zh-CN"/>
        </w:rPr>
      </w:pPr>
      <w:r>
        <w:rPr>
          <w:rFonts w:hint="eastAsia"/>
          <w:b/>
          <w:bCs/>
          <w:lang w:eastAsia="zh-CN"/>
        </w:rPr>
        <w:t>（</w:t>
      </w:r>
      <w:r>
        <w:rPr>
          <w:rFonts w:hint="eastAsia"/>
          <w:b/>
          <w:bCs/>
          <w:lang w:val="en-US" w:eastAsia="zh-CN"/>
        </w:rPr>
        <w:t>1</w:t>
      </w:r>
      <w:r>
        <w:rPr>
          <w:rFonts w:hint="eastAsia"/>
          <w:b/>
          <w:bCs/>
          <w:lang w:eastAsia="zh-CN"/>
        </w:rPr>
        <w:t>）数量指标完成情况分析</w:t>
      </w:r>
    </w:p>
    <w:p>
      <w:pPr>
        <w:bidi w:val="0"/>
        <w:rPr>
          <w:rFonts w:hint="eastAsia"/>
          <w:lang w:eastAsia="zh-CN"/>
        </w:rPr>
      </w:pPr>
      <w:r>
        <w:rPr>
          <w:rFonts w:hint="eastAsia"/>
          <w:lang w:eastAsia="zh-CN"/>
        </w:rPr>
        <w:t>A.支持专精特新“小巨人”企业数量指标值为9家，实际支持专精特新“小巨人”企业数量指标值为9家，完成绩效目标100%，偏差率0%。</w:t>
      </w:r>
    </w:p>
    <w:p>
      <w:pPr>
        <w:bidi w:val="0"/>
        <w:rPr>
          <w:rFonts w:hint="eastAsia"/>
          <w:lang w:eastAsia="zh-CN"/>
        </w:rPr>
      </w:pPr>
      <w:r>
        <w:rPr>
          <w:rFonts w:hint="eastAsia"/>
          <w:lang w:eastAsia="zh-CN"/>
        </w:rPr>
        <w:t>B.支持自治区专精特新中小企业数量指标值为200家，实际支持自治区专精特新中小企业数量指标值为202家，完成绩效目标101%，偏差率1%，偏差原因：因2024年申报企业数量较多，因此培育情况超出预期。</w:t>
      </w:r>
    </w:p>
    <w:p>
      <w:pPr>
        <w:bidi w:val="0"/>
        <w:rPr>
          <w:rFonts w:hint="eastAsia"/>
          <w:lang w:eastAsia="zh-CN"/>
        </w:rPr>
      </w:pPr>
      <w:r>
        <w:rPr>
          <w:rFonts w:hint="eastAsia"/>
          <w:lang w:eastAsia="zh-CN"/>
        </w:rPr>
        <w:t>C.注册报名参加第九届“创客中国”创新创业大赛项目数量指标值为460个，实际注册报名参加第九届“创客中国”创新创业大赛项目数量为</w:t>
      </w:r>
      <w:r>
        <w:rPr>
          <w:rFonts w:hint="eastAsia"/>
          <w:lang w:val="en-US" w:eastAsia="zh-CN"/>
        </w:rPr>
        <w:t>462</w:t>
      </w:r>
      <w:r>
        <w:rPr>
          <w:rFonts w:hint="eastAsia"/>
          <w:lang w:eastAsia="zh-CN"/>
        </w:rPr>
        <w:t>个，完成绩效目标1</w:t>
      </w:r>
      <w:r>
        <w:rPr>
          <w:rFonts w:hint="eastAsia"/>
          <w:lang w:val="en-US" w:eastAsia="zh-CN"/>
        </w:rPr>
        <w:t>00</w:t>
      </w:r>
      <w:r>
        <w:rPr>
          <w:rFonts w:hint="eastAsia"/>
          <w:lang w:eastAsia="zh-CN"/>
        </w:rPr>
        <w:t>%，偏差率</w:t>
      </w:r>
      <w:r>
        <w:rPr>
          <w:rFonts w:hint="eastAsia"/>
          <w:lang w:val="en-US" w:eastAsia="zh-CN"/>
        </w:rPr>
        <w:t>0</w:t>
      </w:r>
      <w:r>
        <w:rPr>
          <w:rFonts w:hint="eastAsia"/>
          <w:lang w:eastAsia="zh-CN"/>
        </w:rPr>
        <w:t>%。</w:t>
      </w:r>
    </w:p>
    <w:p>
      <w:pPr>
        <w:bidi w:val="0"/>
        <w:rPr>
          <w:rFonts w:hint="eastAsia"/>
          <w:lang w:eastAsia="zh-CN"/>
        </w:rPr>
      </w:pPr>
      <w:r>
        <w:rPr>
          <w:rFonts w:hint="eastAsia"/>
          <w:lang w:eastAsia="zh-CN"/>
        </w:rPr>
        <w:t>D.组织参加第十九届中博会企业数量指标值为30家，实际组织参加第十九届中博会企业数量指标值为3</w:t>
      </w:r>
      <w:r>
        <w:rPr>
          <w:rFonts w:hint="eastAsia"/>
          <w:lang w:val="en-US" w:eastAsia="zh-CN"/>
        </w:rPr>
        <w:t>2</w:t>
      </w:r>
      <w:r>
        <w:rPr>
          <w:rFonts w:hint="eastAsia"/>
          <w:lang w:eastAsia="zh-CN"/>
        </w:rPr>
        <w:t>家，完成绩效目标10</w:t>
      </w:r>
      <w:r>
        <w:rPr>
          <w:rFonts w:hint="eastAsia"/>
          <w:lang w:val="en-US" w:eastAsia="zh-CN"/>
        </w:rPr>
        <w:t>6</w:t>
      </w:r>
      <w:r>
        <w:rPr>
          <w:rFonts w:hint="eastAsia"/>
          <w:lang w:eastAsia="zh-CN"/>
        </w:rPr>
        <w:t>%，偏差率</w:t>
      </w:r>
      <w:r>
        <w:rPr>
          <w:rFonts w:hint="eastAsia"/>
          <w:lang w:val="en-US" w:eastAsia="zh-CN"/>
        </w:rPr>
        <w:t>6</w:t>
      </w:r>
      <w:r>
        <w:rPr>
          <w:rFonts w:hint="eastAsia"/>
          <w:lang w:eastAsia="zh-CN"/>
        </w:rPr>
        <w:t>%，偏差原因：因2024年中小企业市场需求较为疲软，因此企业参加展会意愿增强。。</w:t>
      </w:r>
    </w:p>
    <w:p>
      <w:pPr>
        <w:bidi w:val="0"/>
        <w:rPr>
          <w:rFonts w:hint="eastAsia" w:eastAsia="仿宋_GB2312"/>
          <w:lang w:eastAsia="zh-CN"/>
        </w:rPr>
      </w:pPr>
      <w:r>
        <w:rPr>
          <w:rFonts w:hint="eastAsia"/>
          <w:lang w:eastAsia="zh-CN"/>
        </w:rPr>
        <w:t>E.保障中小企业发展服务平台系统数量指标值为1个，实际保障中小企业发展服务平台系统数量为1个，完成绩效目标100%，偏差率0%。</w:t>
      </w:r>
    </w:p>
    <w:p>
      <w:pPr>
        <w:bidi w:val="0"/>
        <w:rPr>
          <w:rFonts w:hint="eastAsia" w:eastAsia="仿宋_GB2312"/>
          <w:b/>
          <w:bCs/>
          <w:lang w:eastAsia="zh-CN"/>
        </w:rPr>
      </w:pPr>
      <w:r>
        <w:rPr>
          <w:rFonts w:hint="eastAsia"/>
          <w:b/>
          <w:bCs/>
          <w:lang w:eastAsia="zh-CN"/>
        </w:rPr>
        <w:t>（</w:t>
      </w:r>
      <w:r>
        <w:rPr>
          <w:rFonts w:hint="eastAsia"/>
          <w:b/>
          <w:bCs/>
          <w:lang w:val="en-US" w:eastAsia="zh-CN"/>
        </w:rPr>
        <w:t>2</w:t>
      </w:r>
      <w:r>
        <w:rPr>
          <w:rFonts w:hint="eastAsia"/>
          <w:b/>
          <w:bCs/>
          <w:lang w:eastAsia="zh-CN"/>
        </w:rPr>
        <w:t>）</w:t>
      </w:r>
      <w:r>
        <w:rPr>
          <w:rFonts w:hint="eastAsia"/>
          <w:b/>
          <w:bCs/>
          <w:lang w:val="en-US" w:eastAsia="zh-CN"/>
        </w:rPr>
        <w:t>质量指标完成情况分析</w:t>
      </w:r>
    </w:p>
    <w:p>
      <w:pPr>
        <w:bidi w:val="0"/>
      </w:pPr>
      <w:r>
        <w:rPr>
          <w:rFonts w:hint="eastAsia"/>
        </w:rPr>
        <w:t>培训合规率的指标值为90%以上，实际培训合规率为95%，完成绩效目标，偏差率为0%。</w:t>
      </w:r>
    </w:p>
    <w:p>
      <w:pPr>
        <w:pStyle w:val="7"/>
        <w:bidi w:val="0"/>
        <w:rPr>
          <w:rFonts w:hint="default"/>
          <w:lang w:val="en-US" w:eastAsia="zh-CN"/>
        </w:rPr>
      </w:pPr>
      <w:r>
        <w:rPr>
          <w:rFonts w:hint="eastAsia"/>
          <w:lang w:val="en-US" w:eastAsia="zh-CN"/>
        </w:rPr>
        <w:t>2.成本指标完成情况</w:t>
      </w:r>
    </w:p>
    <w:p>
      <w:pPr>
        <w:bidi w:val="0"/>
        <w:rPr>
          <w:rFonts w:hint="eastAsia" w:eastAsia="仿宋_GB2312"/>
          <w:b/>
          <w:bCs/>
          <w:lang w:eastAsia="zh-CN"/>
        </w:rPr>
      </w:pPr>
      <w:r>
        <w:rPr>
          <w:rFonts w:hint="eastAsia"/>
          <w:b/>
          <w:bCs/>
        </w:rPr>
        <w:t>经济成本指标完成情况分析</w:t>
      </w:r>
    </w:p>
    <w:p>
      <w:pPr>
        <w:bidi w:val="0"/>
        <w:rPr>
          <w:rFonts w:hint="eastAsia"/>
        </w:rPr>
      </w:pPr>
      <w:r>
        <w:rPr>
          <w:rFonts w:hint="eastAsia"/>
        </w:rPr>
        <w:t>A.专精特新“小巨人”企业扶持标准指标值为100万元/家，实际专精特新“小巨人”企业扶持标准为100万元/家，偏差率0%。</w:t>
      </w:r>
    </w:p>
    <w:p>
      <w:pPr>
        <w:bidi w:val="0"/>
      </w:pPr>
      <w:r>
        <w:rPr>
          <w:rFonts w:hint="eastAsia"/>
        </w:rPr>
        <w:t>B.专精特新中小企业扶持标准指标值为25万元/家，实际专精特新中小企业扶持标准为25万元/家，完成绩效目标100%，偏差率0%。</w:t>
      </w:r>
    </w:p>
    <w:p>
      <w:pPr>
        <w:pStyle w:val="7"/>
        <w:bidi w:val="0"/>
        <w:rPr>
          <w:rFonts w:hint="eastAsia"/>
        </w:rPr>
      </w:pPr>
      <w:r>
        <w:rPr>
          <w:rFonts w:hint="eastAsia"/>
          <w:lang w:val="en-US" w:eastAsia="zh-CN"/>
        </w:rPr>
        <w:t>3.</w:t>
      </w:r>
      <w:r>
        <w:rPr>
          <w:rFonts w:hint="eastAsia"/>
        </w:rPr>
        <w:t>效益指标完成情况</w:t>
      </w:r>
    </w:p>
    <w:p>
      <w:pPr>
        <w:bidi w:val="0"/>
        <w:rPr>
          <w:rFonts w:hint="eastAsia"/>
          <w:b/>
          <w:bCs/>
        </w:rPr>
      </w:pPr>
      <w:r>
        <w:rPr>
          <w:rFonts w:hint="eastAsia"/>
          <w:b/>
          <w:bCs/>
          <w:lang w:eastAsia="zh-CN"/>
        </w:rPr>
        <w:t>（</w:t>
      </w:r>
      <w:r>
        <w:rPr>
          <w:rFonts w:hint="eastAsia"/>
          <w:b/>
          <w:bCs/>
          <w:lang w:val="en-US" w:eastAsia="zh-CN"/>
        </w:rPr>
        <w:t>1</w:t>
      </w:r>
      <w:r>
        <w:rPr>
          <w:rFonts w:hint="eastAsia"/>
          <w:b/>
          <w:bCs/>
          <w:lang w:eastAsia="zh-CN"/>
        </w:rPr>
        <w:t>）</w:t>
      </w:r>
      <w:r>
        <w:rPr>
          <w:rFonts w:hint="eastAsia"/>
          <w:b/>
          <w:bCs/>
        </w:rPr>
        <w:t>经济效益指标完成情况分析</w:t>
      </w:r>
    </w:p>
    <w:p>
      <w:pPr>
        <w:bidi w:val="0"/>
        <w:rPr>
          <w:rFonts w:hint="eastAsia"/>
        </w:rPr>
      </w:pPr>
      <w:r>
        <w:rPr>
          <w:rFonts w:hint="eastAsia"/>
        </w:rPr>
        <w:t>A.被支持专精特新企业主营业务收入占营业收入比重的指标值为95%以上，实际被支持专精特新企业主营业务收入占营业收入比重为</w:t>
      </w:r>
      <w:r>
        <w:rPr>
          <w:rFonts w:hint="eastAsia"/>
          <w:lang w:val="en-US" w:eastAsia="zh-CN"/>
        </w:rPr>
        <w:t>96.77</w:t>
      </w:r>
      <w:r>
        <w:rPr>
          <w:rFonts w:hint="eastAsia"/>
        </w:rPr>
        <w:t>%，绩效目标完成率为</w:t>
      </w:r>
      <w:r>
        <w:rPr>
          <w:rFonts w:hint="eastAsia"/>
          <w:lang w:val="en-US" w:eastAsia="zh-CN"/>
        </w:rPr>
        <w:t>100</w:t>
      </w:r>
      <w:r>
        <w:rPr>
          <w:rFonts w:hint="eastAsia"/>
        </w:rPr>
        <w:t>%，偏差率为0%。</w:t>
      </w:r>
    </w:p>
    <w:p>
      <w:pPr>
        <w:bidi w:val="0"/>
        <w:rPr>
          <w:rFonts w:hint="eastAsia"/>
        </w:rPr>
      </w:pPr>
      <w:r>
        <w:rPr>
          <w:rFonts w:hint="eastAsia"/>
        </w:rPr>
        <w:t>B.第十九届中博会同国内企业签约金额的指标值为1400万元以上，实际第十九届中博会同国内企业签约金额为1433万元，完成绩效目标102.4%，偏差率为2.4%</w:t>
      </w:r>
      <w:r>
        <w:rPr>
          <w:rFonts w:hint="eastAsia"/>
          <w:lang w:eastAsia="zh-CN"/>
        </w:rPr>
        <w:t>，偏差原因：因2024年中博会新疆代表团参展企业主要为新疆优势特色的传统中医药、农副产品加工等行业，因此在内地较受欢迎，故成交额稍有提升。</w:t>
      </w:r>
      <w:r>
        <w:rPr>
          <w:rFonts w:hint="eastAsia"/>
        </w:rPr>
        <w:t>。</w:t>
      </w:r>
    </w:p>
    <w:p>
      <w:pPr>
        <w:bidi w:val="0"/>
        <w:rPr>
          <w:rFonts w:hint="eastAsia"/>
          <w:b/>
          <w:bCs/>
        </w:rPr>
      </w:pPr>
      <w:r>
        <w:rPr>
          <w:rFonts w:hint="eastAsia"/>
          <w:b/>
          <w:bCs/>
          <w:lang w:eastAsia="zh-CN"/>
        </w:rPr>
        <w:t>（</w:t>
      </w:r>
      <w:r>
        <w:rPr>
          <w:rFonts w:hint="eastAsia"/>
          <w:b/>
          <w:bCs/>
          <w:lang w:val="en-US" w:eastAsia="zh-CN"/>
        </w:rPr>
        <w:t>2</w:t>
      </w:r>
      <w:r>
        <w:rPr>
          <w:rFonts w:hint="eastAsia"/>
          <w:b/>
          <w:bCs/>
          <w:lang w:eastAsia="zh-CN"/>
        </w:rPr>
        <w:t>）</w:t>
      </w:r>
      <w:r>
        <w:rPr>
          <w:rFonts w:hint="eastAsia"/>
          <w:b/>
          <w:bCs/>
        </w:rPr>
        <w:t>社会效益指标完成情况分析</w:t>
      </w:r>
    </w:p>
    <w:p>
      <w:pPr>
        <w:bidi w:val="0"/>
        <w:rPr>
          <w:rFonts w:hint="eastAsia"/>
        </w:rPr>
      </w:pPr>
      <w:r>
        <w:rPr>
          <w:rFonts w:hint="eastAsia"/>
        </w:rPr>
        <w:t>A.被支持专精特新“小巨人”研发经费支出占营业收入比重指标值为3%以上，实际被支持专精特新“小巨人”研发经费支出占营业收入比重为3.33%，绩效目标完成率111%，偏差率为11%。偏差原因是在政策大力扶持专精特新企业创新发展的导向下，相关政策给予企业研发费用加计扣除等优惠力度较大，激励企业加大研发投入。</w:t>
      </w:r>
    </w:p>
    <w:p>
      <w:pPr>
        <w:bidi w:val="0"/>
        <w:rPr>
          <w:rFonts w:hint="eastAsia"/>
        </w:rPr>
      </w:pPr>
      <w:r>
        <w:rPr>
          <w:rFonts w:hint="eastAsia"/>
        </w:rPr>
        <w:t>B.银河培训项目培训人数指标值为150人以上，实际银河培训项目培训人数为150人，绩效目标完成率100%，偏差率为0%。</w:t>
      </w:r>
    </w:p>
    <w:p>
      <w:pPr>
        <w:bidi w:val="0"/>
      </w:pPr>
      <w:r>
        <w:rPr>
          <w:rFonts w:hint="eastAsia"/>
        </w:rPr>
        <w:t>C.推送各类政策信息数量指标值为1200条以上，实际推送各类政策信息数量为1260条，绩效目标完成率105%，偏差率为5%</w:t>
      </w:r>
      <w:r>
        <w:rPr>
          <w:rFonts w:hint="eastAsia"/>
          <w:lang w:eastAsia="zh-CN"/>
        </w:rPr>
        <w:t>，偏差原因：因2024年惠企政策发布数量较多，因此推送数量随之上升。</w:t>
      </w:r>
      <w:r>
        <w:rPr>
          <w:rFonts w:hint="eastAsia"/>
        </w:rPr>
        <w:t>。</w:t>
      </w:r>
    </w:p>
    <w:p>
      <w:pPr>
        <w:pStyle w:val="7"/>
        <w:bidi w:val="0"/>
        <w:rPr>
          <w:rFonts w:hint="default"/>
          <w:lang w:val="en-US" w:eastAsia="zh-CN"/>
        </w:rPr>
      </w:pPr>
      <w:r>
        <w:rPr>
          <w:rFonts w:hint="eastAsia"/>
          <w:lang w:val="en-US" w:eastAsia="zh-CN"/>
        </w:rPr>
        <w:t>4.满意度指标完成情况</w:t>
      </w:r>
    </w:p>
    <w:p>
      <w:pPr>
        <w:bidi w:val="0"/>
      </w:pPr>
      <w:r>
        <w:rPr>
          <w:rFonts w:hint="eastAsia"/>
          <w:b/>
          <w:bCs/>
        </w:rPr>
        <w:t>满意度指标完成情况分析：</w:t>
      </w:r>
      <w:r>
        <w:rPr>
          <w:rFonts w:hint="eastAsia"/>
        </w:rPr>
        <w:t>项目支持企业满意度指标值90%以上，实际项目支持企业满意度为9</w:t>
      </w:r>
      <w:r>
        <w:rPr>
          <w:rFonts w:hint="eastAsia"/>
          <w:lang w:val="en-US" w:eastAsia="zh-CN"/>
        </w:rPr>
        <w:t>1</w:t>
      </w:r>
      <w:r>
        <w:rPr>
          <w:rFonts w:hint="eastAsia"/>
        </w:rPr>
        <w:t>%，完成率为10</w:t>
      </w:r>
      <w:r>
        <w:rPr>
          <w:rFonts w:hint="eastAsia"/>
          <w:lang w:val="en-US" w:eastAsia="zh-CN"/>
        </w:rPr>
        <w:t>1.12</w:t>
      </w:r>
      <w:r>
        <w:rPr>
          <w:rFonts w:hint="eastAsia"/>
        </w:rPr>
        <w:t>%，偏差率为5.6%</w:t>
      </w:r>
      <w:r>
        <w:rPr>
          <w:rFonts w:hint="eastAsia"/>
          <w:lang w:eastAsia="zh-CN"/>
        </w:rPr>
        <w:t>，偏差原因：企业满意度达到91%</w:t>
      </w:r>
      <w:r>
        <w:rPr>
          <w:rFonts w:hint="eastAsia"/>
        </w:rPr>
        <w:t>。</w:t>
      </w:r>
    </w:p>
    <w:p>
      <w:pPr>
        <w:keepNext/>
        <w:widowControl w:val="0"/>
        <w:kinsoku w:val="0"/>
        <w:autoSpaceDE/>
        <w:autoSpaceDN/>
        <w:bidi w:val="0"/>
        <w:adjustRightInd w:val="0"/>
        <w:snapToGrid w:val="0"/>
        <w:spacing w:line="600" w:lineRule="exact"/>
        <w:ind w:firstLine="640" w:firstLineChars="200"/>
        <w:jc w:val="both"/>
        <w:textAlignment w:val="baseline"/>
        <w:outlineLvl w:val="1"/>
        <w:rPr>
          <w:rFonts w:hint="eastAsia" w:ascii="Times New Roman" w:hAnsi="Times New Roman" w:eastAsia="黑体" w:cs="Times New Roman"/>
          <w:bCs/>
          <w:iCs/>
          <w:snapToGrid w:val="0"/>
          <w:color w:val="auto"/>
          <w:kern w:val="0"/>
          <w:sz w:val="32"/>
          <w:szCs w:val="36"/>
          <w:highlight w:val="none"/>
          <w:lang w:val="en-US" w:eastAsia="zh-CN" w:bidi="ar-SA"/>
        </w:rPr>
      </w:pPr>
      <w:r>
        <w:rPr>
          <w:rFonts w:hint="eastAsia" w:ascii="Times New Roman" w:hAnsi="Times New Roman" w:eastAsia="黑体" w:cs="Times New Roman"/>
          <w:bCs/>
          <w:iCs/>
          <w:snapToGrid w:val="0"/>
          <w:color w:val="auto"/>
          <w:kern w:val="0"/>
          <w:sz w:val="32"/>
          <w:szCs w:val="36"/>
          <w:highlight w:val="none"/>
          <w:lang w:val="en-US" w:eastAsia="zh-CN" w:bidi="ar-SA"/>
        </w:rPr>
        <w:t>三、偏离绩效目标的原因和下一步改进措施</w:t>
      </w:r>
    </w:p>
    <w:p>
      <w:pPr>
        <w:keepNext/>
        <w:widowControl w:val="0"/>
        <w:kinsoku w:val="0"/>
        <w:autoSpaceDE/>
        <w:autoSpaceDN/>
        <w:bidi w:val="0"/>
        <w:adjustRightInd w:val="0"/>
        <w:snapToGrid w:val="0"/>
        <w:spacing w:line="560" w:lineRule="exact"/>
        <w:ind w:firstLine="640" w:firstLineChars="200"/>
        <w:jc w:val="both"/>
        <w:textAlignment w:val="baseline"/>
        <w:outlineLvl w:val="2"/>
        <w:rPr>
          <w:rFonts w:hint="default" w:ascii="Times New Roman" w:hAnsi="Times New Roman" w:eastAsia="仿宋_GB2312" w:cs="Times New Roman"/>
          <w:bCs/>
          <w:snapToGrid w:val="0"/>
          <w:color w:val="auto"/>
          <w:kern w:val="0"/>
          <w:sz w:val="32"/>
          <w:szCs w:val="28"/>
          <w:highlight w:val="none"/>
          <w:lang w:val="en-US" w:eastAsia="zh-CN" w:bidi="ar-SA"/>
        </w:rPr>
      </w:pPr>
      <w:r>
        <w:rPr>
          <w:rFonts w:hint="eastAsia" w:ascii="Times New Roman" w:hAnsi="Times New Roman" w:eastAsia="方正楷体_GB2312" w:cs="Times New Roman"/>
          <w:bCs/>
          <w:snapToGrid w:val="0"/>
          <w:color w:val="auto"/>
          <w:kern w:val="0"/>
          <w:sz w:val="32"/>
          <w:szCs w:val="28"/>
          <w:highlight w:val="none"/>
          <w:lang w:val="en-US" w:eastAsia="zh-CN" w:bidi="ar-SA"/>
        </w:rPr>
        <w:t>（一）偏离的绩效目标</w:t>
      </w:r>
    </w:p>
    <w:p>
      <w:pPr>
        <w:pStyle w:val="7"/>
        <w:bidi w:val="0"/>
        <w:rPr>
          <w:rFonts w:hint="default"/>
          <w:lang w:val="en-US" w:eastAsia="zh-CN"/>
        </w:rPr>
      </w:pPr>
      <w:r>
        <w:rPr>
          <w:rFonts w:hint="eastAsia"/>
          <w:lang w:val="en-US" w:eastAsia="zh-CN"/>
        </w:rPr>
        <w:t>1.未完成指标</w:t>
      </w:r>
    </w:p>
    <w:p>
      <w:pPr>
        <w:bidi w:val="0"/>
        <w:rPr>
          <w:rFonts w:hint="eastAsia" w:eastAsia="仿宋_GB2312"/>
          <w:lang w:val="en-US" w:eastAsia="zh-CN"/>
        </w:rPr>
      </w:pPr>
      <w:r>
        <w:rPr>
          <w:rFonts w:hint="eastAsia"/>
          <w:lang w:val="en-US" w:eastAsia="zh-CN"/>
        </w:rPr>
        <w:t>无</w:t>
      </w:r>
    </w:p>
    <w:p>
      <w:pPr>
        <w:pStyle w:val="7"/>
        <w:bidi w:val="0"/>
        <w:rPr>
          <w:rFonts w:hint="default"/>
          <w:lang w:val="en-US" w:eastAsia="zh-CN"/>
        </w:rPr>
      </w:pPr>
      <w:r>
        <w:rPr>
          <w:rFonts w:hint="eastAsia"/>
          <w:lang w:val="en-US" w:eastAsia="zh-CN"/>
        </w:rPr>
        <w:t>2.超额完成指标</w:t>
      </w:r>
    </w:p>
    <w:p>
      <w:pPr>
        <w:bidi w:val="0"/>
        <w:rPr>
          <w:rFonts w:hint="default" w:eastAsia="仿宋_GB2312"/>
          <w:lang w:val="en-US" w:eastAsia="zh-CN"/>
        </w:rPr>
      </w:pPr>
      <w:r>
        <w:rPr>
          <w:rFonts w:hint="eastAsia"/>
          <w:lang w:val="en-US" w:eastAsia="zh-CN"/>
        </w:rPr>
        <w:t>无</w:t>
      </w:r>
    </w:p>
    <w:p>
      <w:pPr>
        <w:keepNext/>
        <w:widowControl w:val="0"/>
        <w:kinsoku w:val="0"/>
        <w:autoSpaceDE/>
        <w:autoSpaceDN/>
        <w:bidi w:val="0"/>
        <w:adjustRightInd w:val="0"/>
        <w:snapToGrid w:val="0"/>
        <w:spacing w:line="560" w:lineRule="exact"/>
        <w:ind w:firstLine="640" w:firstLineChars="200"/>
        <w:jc w:val="both"/>
        <w:textAlignment w:val="baseline"/>
        <w:outlineLvl w:val="2"/>
        <w:rPr>
          <w:rFonts w:hint="default" w:ascii="Times New Roman" w:hAnsi="Times New Roman" w:eastAsia="仿宋_GB2312" w:cs="Times New Roman"/>
          <w:bCs/>
          <w:snapToGrid w:val="0"/>
          <w:color w:val="auto"/>
          <w:kern w:val="0"/>
          <w:sz w:val="32"/>
          <w:szCs w:val="28"/>
          <w:highlight w:val="none"/>
          <w:lang w:val="en-US" w:eastAsia="zh-CN" w:bidi="ar-SA"/>
        </w:rPr>
      </w:pPr>
      <w:r>
        <w:rPr>
          <w:rFonts w:hint="eastAsia" w:ascii="Times New Roman" w:hAnsi="Times New Roman" w:eastAsia="方正楷体_GB2312" w:cs="Times New Roman"/>
          <w:bCs/>
          <w:snapToGrid w:val="0"/>
          <w:color w:val="auto"/>
          <w:kern w:val="0"/>
          <w:sz w:val="32"/>
          <w:szCs w:val="28"/>
          <w:highlight w:val="none"/>
          <w:lang w:val="en-US" w:eastAsia="zh-CN" w:bidi="ar-SA"/>
        </w:rPr>
        <w:t>（二）下一步改进措施</w:t>
      </w:r>
    </w:p>
    <w:p>
      <w:pPr>
        <w:kinsoku w:val="0"/>
        <w:autoSpaceDE/>
        <w:autoSpaceDN/>
        <w:bidi w:val="0"/>
        <w:adjustRightInd w:val="0"/>
        <w:snapToGrid w:val="0"/>
        <w:ind w:firstLine="720"/>
        <w:textAlignment w:val="baseline"/>
        <w:rPr>
          <w:rFonts w:hint="eastAsia" w:ascii="Times New Roman" w:hAnsi="Times New Roman" w:cs="Arial"/>
          <w:snapToGrid w:val="0"/>
          <w:color w:val="auto"/>
          <w:kern w:val="0"/>
          <w:szCs w:val="21"/>
          <w:highlight w:val="none"/>
        </w:rPr>
      </w:pPr>
      <w:r>
        <w:rPr>
          <w:rFonts w:hint="eastAsia" w:ascii="Times New Roman" w:hAnsi="Times New Roman" w:cs="Arial"/>
          <w:snapToGrid w:val="0"/>
          <w:color w:val="auto"/>
          <w:kern w:val="0"/>
          <w:szCs w:val="21"/>
          <w:highlight w:val="none"/>
        </w:rPr>
        <w:t>项目实施工作中存在的不足：从本次中小企业发展专项资金</w:t>
      </w:r>
      <w:r>
        <w:rPr>
          <w:rFonts w:hint="eastAsia" w:cs="Arial"/>
          <w:snapToGrid w:val="0"/>
          <w:color w:val="auto"/>
          <w:kern w:val="0"/>
          <w:szCs w:val="21"/>
          <w:highlight w:val="none"/>
          <w:lang w:eastAsia="zh-CN"/>
        </w:rPr>
        <w:t>（</w:t>
      </w:r>
      <w:r>
        <w:rPr>
          <w:rFonts w:hint="eastAsia" w:cs="Arial"/>
          <w:snapToGrid w:val="0"/>
          <w:color w:val="auto"/>
          <w:kern w:val="0"/>
          <w:szCs w:val="21"/>
          <w:highlight w:val="none"/>
          <w:lang w:val="en-US" w:eastAsia="zh-CN"/>
        </w:rPr>
        <w:t>自治区本级</w:t>
      </w:r>
      <w:r>
        <w:rPr>
          <w:rFonts w:hint="eastAsia" w:cs="Arial"/>
          <w:snapToGrid w:val="0"/>
          <w:color w:val="auto"/>
          <w:kern w:val="0"/>
          <w:szCs w:val="21"/>
          <w:highlight w:val="none"/>
          <w:lang w:eastAsia="zh-CN"/>
        </w:rPr>
        <w:t>）</w:t>
      </w:r>
      <w:r>
        <w:rPr>
          <w:rFonts w:hint="eastAsia" w:ascii="Times New Roman" w:hAnsi="Times New Roman" w:cs="Arial"/>
          <w:snapToGrid w:val="0"/>
          <w:color w:val="auto"/>
          <w:kern w:val="0"/>
          <w:szCs w:val="21"/>
          <w:highlight w:val="none"/>
        </w:rPr>
        <w:t>绩效评价工作整体来看，基本上能够按照要求开展并完成工作，但其中也存在着一些问题，我区大多数中小企业规模小，专业化和精细化程度不高，创新能力较弱，专精特新“小巨人”企业培育难度大，后备企业少。以制造业为主的实体经济发展不平衡，中低端产能过剩与高端供给不足等矛盾较为突出，战略性新兴产业和高技术制造业占比低。中小企业发展环境竞争优势不足，在软环境、基础设施、社会服务等方面存在明显差距等。</w:t>
      </w:r>
    </w:p>
    <w:p>
      <w:pPr>
        <w:kinsoku w:val="0"/>
        <w:autoSpaceDE/>
        <w:autoSpaceDN/>
        <w:bidi w:val="0"/>
        <w:adjustRightInd w:val="0"/>
        <w:snapToGrid w:val="0"/>
        <w:ind w:firstLine="720"/>
        <w:textAlignment w:val="baseline"/>
        <w:rPr>
          <w:rFonts w:hint="eastAsia" w:ascii="Times New Roman" w:hAnsi="Times New Roman" w:cs="Arial"/>
          <w:snapToGrid w:val="0"/>
          <w:color w:val="auto"/>
          <w:kern w:val="0"/>
          <w:szCs w:val="21"/>
          <w:highlight w:val="none"/>
        </w:rPr>
      </w:pPr>
      <w:r>
        <w:rPr>
          <w:rFonts w:hint="eastAsia" w:ascii="Times New Roman" w:hAnsi="Times New Roman" w:cs="Arial"/>
          <w:snapToGrid w:val="0"/>
          <w:color w:val="auto"/>
          <w:kern w:val="0"/>
          <w:szCs w:val="21"/>
          <w:highlight w:val="none"/>
        </w:rPr>
        <w:t>下一步工作实施改进措施：</w:t>
      </w:r>
      <w:r>
        <w:rPr>
          <w:rFonts w:hint="eastAsia" w:ascii="Times New Roman" w:hAnsi="Times New Roman" w:cs="Arial"/>
          <w:b/>
          <w:bCs/>
          <w:snapToGrid w:val="0"/>
          <w:color w:val="auto"/>
          <w:kern w:val="0"/>
          <w:szCs w:val="21"/>
          <w:highlight w:val="none"/>
        </w:rPr>
        <w:t>一是</w:t>
      </w:r>
      <w:r>
        <w:rPr>
          <w:rFonts w:hint="eastAsia" w:ascii="Times New Roman" w:hAnsi="Times New Roman" w:cs="Arial"/>
          <w:snapToGrid w:val="0"/>
          <w:color w:val="auto"/>
          <w:kern w:val="0"/>
          <w:szCs w:val="21"/>
          <w:highlight w:val="none"/>
        </w:rPr>
        <w:t>优化专项扶持政策，增强专项资金的引导带动作用。优先采用直接补贴的方式扶持产业发展的核心关键环节和标杆示范项目，加强对标杆示范项目的监管，完善标杆示范项目的后续管理及推广机制。</w:t>
      </w:r>
      <w:r>
        <w:rPr>
          <w:rFonts w:hint="eastAsia" w:ascii="Times New Roman" w:hAnsi="Times New Roman" w:cs="Arial"/>
          <w:b/>
          <w:bCs/>
          <w:snapToGrid w:val="0"/>
          <w:color w:val="auto"/>
          <w:kern w:val="0"/>
          <w:szCs w:val="21"/>
          <w:highlight w:val="none"/>
        </w:rPr>
        <w:t>二是</w:t>
      </w:r>
      <w:r>
        <w:rPr>
          <w:rFonts w:hint="eastAsia" w:ascii="Times New Roman" w:hAnsi="Times New Roman" w:cs="Arial"/>
          <w:snapToGrid w:val="0"/>
          <w:color w:val="auto"/>
          <w:kern w:val="0"/>
          <w:szCs w:val="21"/>
          <w:highlight w:val="none"/>
        </w:rPr>
        <w:t>完善专项资金管理，提高资金下拨管理使用效率。加强部门间的沟通协作，优化资金下拨路径，疏通资金下拨通道，尽量减少多级资金管理部门的影响。</w:t>
      </w:r>
      <w:r>
        <w:rPr>
          <w:rFonts w:hint="eastAsia" w:ascii="Times New Roman" w:hAnsi="Times New Roman" w:cs="Arial"/>
          <w:b/>
          <w:bCs/>
          <w:snapToGrid w:val="0"/>
          <w:color w:val="auto"/>
          <w:kern w:val="0"/>
          <w:szCs w:val="21"/>
          <w:highlight w:val="none"/>
        </w:rPr>
        <w:t>三是</w:t>
      </w:r>
      <w:r>
        <w:rPr>
          <w:rFonts w:hint="eastAsia" w:ascii="Times New Roman" w:hAnsi="Times New Roman" w:cs="Arial"/>
          <w:snapToGrid w:val="0"/>
          <w:color w:val="auto"/>
          <w:kern w:val="0"/>
          <w:szCs w:val="21"/>
          <w:highlight w:val="none"/>
        </w:rPr>
        <w:t>规范组织实施程序，建立全面的绩效跟踪管理机制。统一基本实施程序，降低程序性问题的沟通成本。根据扶持方式的不同，制定规范的实施程序。</w:t>
      </w:r>
    </w:p>
    <w:p>
      <w:pPr>
        <w:keepNext/>
        <w:widowControl w:val="0"/>
        <w:kinsoku w:val="0"/>
        <w:autoSpaceDE/>
        <w:autoSpaceDN/>
        <w:bidi w:val="0"/>
        <w:adjustRightInd w:val="0"/>
        <w:snapToGrid w:val="0"/>
        <w:spacing w:line="600" w:lineRule="exact"/>
        <w:ind w:firstLine="640" w:firstLineChars="200"/>
        <w:jc w:val="both"/>
        <w:textAlignment w:val="baseline"/>
        <w:outlineLvl w:val="1"/>
        <w:rPr>
          <w:rFonts w:hint="eastAsia" w:ascii="Times New Roman" w:hAnsi="Times New Roman" w:eastAsia="黑体" w:cs="Times New Roman"/>
          <w:bCs/>
          <w:iCs/>
          <w:snapToGrid w:val="0"/>
          <w:color w:val="auto"/>
          <w:kern w:val="0"/>
          <w:sz w:val="32"/>
          <w:szCs w:val="36"/>
          <w:highlight w:val="none"/>
          <w:lang w:val="en-US" w:eastAsia="zh-CN" w:bidi="ar-SA"/>
        </w:rPr>
      </w:pPr>
      <w:r>
        <w:rPr>
          <w:rFonts w:hint="eastAsia" w:ascii="Times New Roman" w:hAnsi="Times New Roman" w:eastAsia="黑体" w:cs="Times New Roman"/>
          <w:bCs/>
          <w:iCs/>
          <w:snapToGrid w:val="0"/>
          <w:color w:val="auto"/>
          <w:kern w:val="0"/>
          <w:sz w:val="32"/>
          <w:szCs w:val="36"/>
          <w:highlight w:val="none"/>
          <w:lang w:val="en-US" w:eastAsia="zh-CN" w:bidi="ar-SA"/>
        </w:rPr>
        <w:t>四、绩效自评结果应用和公开情况</w:t>
      </w:r>
    </w:p>
    <w:p>
      <w:pPr>
        <w:kinsoku w:val="0"/>
        <w:autoSpaceDE/>
        <w:autoSpaceDN/>
        <w:bidi w:val="0"/>
        <w:adjustRightInd w:val="0"/>
        <w:snapToGrid w:val="0"/>
        <w:ind w:firstLine="720"/>
        <w:textAlignment w:val="baseline"/>
        <w:rPr>
          <w:rFonts w:hint="eastAsia" w:ascii="Times New Roman" w:hAnsi="Times New Roman" w:cs="Arial"/>
          <w:snapToGrid w:val="0"/>
          <w:color w:val="auto"/>
          <w:kern w:val="0"/>
          <w:szCs w:val="21"/>
          <w:highlight w:val="none"/>
        </w:rPr>
      </w:pPr>
      <w:r>
        <w:rPr>
          <w:rFonts w:hint="eastAsia" w:ascii="Times New Roman" w:hAnsi="Times New Roman" w:cs="Arial"/>
          <w:snapToGrid w:val="0"/>
          <w:color w:val="auto"/>
          <w:kern w:val="0"/>
          <w:szCs w:val="21"/>
          <w:highlight w:val="none"/>
        </w:rPr>
        <w:t>按照财政部《项目支出绩效评价管理办法》（财预〔2022〕10号）规定，单位自评标准是：预算执行10分、产出指标50分、效益指标30分、服务对象满意度指标10分。</w:t>
      </w:r>
    </w:p>
    <w:p>
      <w:pPr>
        <w:kinsoku w:val="0"/>
        <w:autoSpaceDE/>
        <w:autoSpaceDN/>
        <w:bidi w:val="0"/>
        <w:adjustRightInd w:val="0"/>
        <w:snapToGrid w:val="0"/>
        <w:ind w:firstLine="720"/>
        <w:textAlignment w:val="baseline"/>
        <w:rPr>
          <w:rFonts w:hint="eastAsia" w:ascii="Times New Roman" w:hAnsi="Times New Roman" w:cs="Arial"/>
          <w:snapToGrid w:val="0"/>
          <w:color w:val="FF0000"/>
          <w:kern w:val="0"/>
          <w:szCs w:val="21"/>
          <w:highlight w:val="none"/>
        </w:rPr>
      </w:pPr>
      <w:r>
        <w:rPr>
          <w:rFonts w:hint="eastAsia" w:ascii="Times New Roman" w:hAnsi="Times New Roman" w:cs="Arial"/>
          <w:snapToGrid w:val="0"/>
          <w:color w:val="auto"/>
          <w:kern w:val="0"/>
          <w:szCs w:val="21"/>
          <w:highlight w:val="none"/>
        </w:rPr>
        <w:t>202</w:t>
      </w:r>
      <w:r>
        <w:rPr>
          <w:rFonts w:hint="eastAsia" w:ascii="Times New Roman" w:hAnsi="Times New Roman" w:cs="Arial"/>
          <w:snapToGrid w:val="0"/>
          <w:color w:val="auto"/>
          <w:kern w:val="0"/>
          <w:szCs w:val="21"/>
          <w:highlight w:val="none"/>
          <w:lang w:val="en-US" w:eastAsia="zh-CN"/>
        </w:rPr>
        <w:t>4</w:t>
      </w:r>
      <w:r>
        <w:rPr>
          <w:rFonts w:hint="eastAsia" w:ascii="Times New Roman" w:hAnsi="Times New Roman" w:cs="Arial"/>
          <w:snapToGrid w:val="0"/>
          <w:color w:val="auto"/>
          <w:kern w:val="0"/>
          <w:szCs w:val="21"/>
          <w:highlight w:val="none"/>
        </w:rPr>
        <w:t>年</w:t>
      </w:r>
      <w:r>
        <w:rPr>
          <w:rFonts w:hint="eastAsia" w:ascii="Times New Roman" w:hAnsi="Times New Roman" w:cs="Arial"/>
          <w:snapToGrid w:val="0"/>
          <w:color w:val="auto"/>
          <w:kern w:val="0"/>
          <w:szCs w:val="21"/>
          <w:highlight w:val="none"/>
          <w:lang w:val="en-US" w:eastAsia="zh-CN"/>
        </w:rPr>
        <w:t>度</w:t>
      </w:r>
      <w:r>
        <w:rPr>
          <w:rFonts w:hint="eastAsia" w:ascii="Times New Roman" w:hAnsi="Times New Roman" w:cs="Arial"/>
          <w:snapToGrid w:val="0"/>
          <w:color w:val="auto"/>
          <w:kern w:val="0"/>
          <w:szCs w:val="21"/>
          <w:highlight w:val="none"/>
        </w:rPr>
        <w:t>自治区中小企业发展专项资金（本级）</w:t>
      </w:r>
      <w:r>
        <w:rPr>
          <w:rFonts w:hint="eastAsia" w:cs="Arial"/>
          <w:snapToGrid w:val="0"/>
          <w:color w:val="auto"/>
          <w:kern w:val="0"/>
          <w:szCs w:val="21"/>
          <w:highlight w:val="none"/>
          <w:lang w:val="en-US" w:eastAsia="zh-CN"/>
        </w:rPr>
        <w:t>6450</w:t>
      </w:r>
      <w:r>
        <w:rPr>
          <w:rFonts w:hint="eastAsia" w:ascii="Times New Roman" w:hAnsi="Times New Roman" w:cs="Arial"/>
          <w:snapToGrid w:val="0"/>
          <w:color w:val="auto"/>
          <w:kern w:val="0"/>
          <w:szCs w:val="21"/>
          <w:highlight w:val="none"/>
        </w:rPr>
        <w:t>万元绩效评价，得分为</w:t>
      </w:r>
      <w:r>
        <w:rPr>
          <w:rFonts w:hint="eastAsia" w:cs="Arial"/>
          <w:snapToGrid w:val="0"/>
          <w:color w:val="auto"/>
          <w:kern w:val="0"/>
          <w:szCs w:val="21"/>
          <w:highlight w:val="none"/>
          <w:lang w:val="en-US" w:eastAsia="zh-CN"/>
        </w:rPr>
        <w:t>99.95</w:t>
      </w:r>
      <w:r>
        <w:rPr>
          <w:rFonts w:hint="eastAsia" w:ascii="Times New Roman" w:hAnsi="Times New Roman" w:cs="Arial"/>
          <w:snapToGrid w:val="0"/>
          <w:color w:val="auto"/>
          <w:kern w:val="0"/>
          <w:szCs w:val="21"/>
          <w:highlight w:val="none"/>
        </w:rPr>
        <w:t>，其中：预算执行</w:t>
      </w:r>
      <w:r>
        <w:rPr>
          <w:rFonts w:hint="eastAsia" w:ascii="Times New Roman" w:hAnsi="Times New Roman" w:cs="Arial"/>
          <w:snapToGrid w:val="0"/>
          <w:color w:val="auto"/>
          <w:kern w:val="0"/>
          <w:szCs w:val="21"/>
          <w:highlight w:val="none"/>
          <w:lang w:val="en-US" w:eastAsia="zh-CN"/>
        </w:rPr>
        <w:t>9.9</w:t>
      </w:r>
      <w:r>
        <w:rPr>
          <w:rFonts w:hint="eastAsia" w:cs="Arial"/>
          <w:snapToGrid w:val="0"/>
          <w:color w:val="auto"/>
          <w:kern w:val="0"/>
          <w:szCs w:val="21"/>
          <w:highlight w:val="none"/>
          <w:lang w:val="en-US" w:eastAsia="zh-CN"/>
        </w:rPr>
        <w:t>5</w:t>
      </w:r>
      <w:r>
        <w:rPr>
          <w:rFonts w:hint="eastAsia" w:ascii="Times New Roman" w:hAnsi="Times New Roman" w:cs="Arial"/>
          <w:snapToGrid w:val="0"/>
          <w:color w:val="auto"/>
          <w:kern w:val="0"/>
          <w:szCs w:val="21"/>
          <w:highlight w:val="none"/>
        </w:rPr>
        <w:t>分、产出指标</w:t>
      </w:r>
      <w:r>
        <w:rPr>
          <w:rFonts w:hint="eastAsia" w:cs="Arial"/>
          <w:snapToGrid w:val="0"/>
          <w:color w:val="auto"/>
          <w:kern w:val="0"/>
          <w:szCs w:val="21"/>
          <w:highlight w:val="none"/>
          <w:lang w:val="en-US" w:eastAsia="zh-CN"/>
        </w:rPr>
        <w:t>60</w:t>
      </w:r>
      <w:r>
        <w:rPr>
          <w:rFonts w:hint="eastAsia" w:ascii="Times New Roman" w:hAnsi="Times New Roman" w:cs="Arial"/>
          <w:snapToGrid w:val="0"/>
          <w:color w:val="auto"/>
          <w:kern w:val="0"/>
          <w:szCs w:val="21"/>
          <w:highlight w:val="none"/>
        </w:rPr>
        <w:t>分、效益指标</w:t>
      </w:r>
      <w:r>
        <w:rPr>
          <w:rFonts w:hint="eastAsia" w:ascii="Times New Roman" w:hAnsi="Times New Roman" w:cs="Arial"/>
          <w:snapToGrid w:val="0"/>
          <w:color w:val="auto"/>
          <w:kern w:val="0"/>
          <w:szCs w:val="21"/>
          <w:highlight w:val="none"/>
          <w:lang w:val="en-US" w:eastAsia="zh-CN"/>
        </w:rPr>
        <w:t>20</w:t>
      </w:r>
      <w:r>
        <w:rPr>
          <w:rFonts w:hint="eastAsia" w:ascii="Times New Roman" w:hAnsi="Times New Roman" w:cs="Arial"/>
          <w:snapToGrid w:val="0"/>
          <w:color w:val="auto"/>
          <w:kern w:val="0"/>
          <w:szCs w:val="21"/>
          <w:highlight w:val="none"/>
        </w:rPr>
        <w:t>分、服务对象满意度指标10分，评估结果为优。</w:t>
      </w:r>
    </w:p>
    <w:p>
      <w:pPr>
        <w:kinsoku w:val="0"/>
        <w:autoSpaceDE/>
        <w:autoSpaceDN/>
        <w:bidi w:val="0"/>
        <w:adjustRightInd w:val="0"/>
        <w:snapToGrid w:val="0"/>
        <w:ind w:firstLine="720"/>
        <w:textAlignment w:val="baseline"/>
        <w:rPr>
          <w:rFonts w:hint="eastAsia" w:ascii="Times New Roman" w:hAnsi="Times New Roman" w:cs="Arial"/>
          <w:snapToGrid w:val="0"/>
          <w:color w:val="auto"/>
          <w:kern w:val="0"/>
          <w:szCs w:val="21"/>
          <w:highlight w:val="none"/>
        </w:rPr>
      </w:pPr>
      <w:r>
        <w:rPr>
          <w:rFonts w:hint="eastAsia" w:ascii="Times New Roman" w:hAnsi="Times New Roman" w:cs="Arial"/>
          <w:snapToGrid w:val="0"/>
          <w:color w:val="auto"/>
          <w:kern w:val="0"/>
          <w:szCs w:val="21"/>
          <w:highlight w:val="none"/>
        </w:rPr>
        <w:t>绩效自评结果在单位网站进行了公示公开，确保了项目实施公开公平公正。</w:t>
      </w:r>
    </w:p>
    <w:p>
      <w:pPr>
        <w:keepNext/>
        <w:widowControl w:val="0"/>
        <w:kinsoku w:val="0"/>
        <w:autoSpaceDE/>
        <w:autoSpaceDN/>
        <w:bidi w:val="0"/>
        <w:adjustRightInd w:val="0"/>
        <w:snapToGrid w:val="0"/>
        <w:spacing w:line="600" w:lineRule="exact"/>
        <w:ind w:firstLine="640" w:firstLineChars="200"/>
        <w:jc w:val="both"/>
        <w:textAlignment w:val="baseline"/>
        <w:outlineLvl w:val="1"/>
        <w:rPr>
          <w:rFonts w:hint="eastAsia" w:ascii="Times New Roman" w:hAnsi="Times New Roman" w:eastAsia="黑体" w:cs="Times New Roman"/>
          <w:bCs/>
          <w:iCs/>
          <w:snapToGrid w:val="0"/>
          <w:color w:val="auto"/>
          <w:kern w:val="0"/>
          <w:sz w:val="32"/>
          <w:szCs w:val="36"/>
          <w:highlight w:val="none"/>
          <w:lang w:val="en-US" w:eastAsia="zh-CN" w:bidi="ar-SA"/>
        </w:rPr>
      </w:pPr>
      <w:r>
        <w:rPr>
          <w:rFonts w:hint="eastAsia" w:ascii="Times New Roman" w:hAnsi="Times New Roman" w:eastAsia="黑体" w:cs="Times New Roman"/>
          <w:bCs/>
          <w:iCs/>
          <w:snapToGrid w:val="0"/>
          <w:color w:val="auto"/>
          <w:kern w:val="0"/>
          <w:sz w:val="32"/>
          <w:szCs w:val="36"/>
          <w:highlight w:val="none"/>
          <w:lang w:val="en-US" w:eastAsia="zh-CN" w:bidi="ar-SA"/>
        </w:rPr>
        <w:t>五、其他需要说明的问题</w:t>
      </w:r>
    </w:p>
    <w:p>
      <w:pPr>
        <w:kinsoku w:val="0"/>
        <w:autoSpaceDE/>
        <w:autoSpaceDN/>
        <w:bidi w:val="0"/>
        <w:adjustRightInd w:val="0"/>
        <w:snapToGrid w:val="0"/>
        <w:ind w:firstLine="720"/>
        <w:textAlignment w:val="baseline"/>
        <w:rPr>
          <w:rFonts w:hint="eastAsia" w:ascii="Times New Roman" w:hAnsi="Times New Roman" w:cs="Arial"/>
          <w:snapToGrid w:val="0"/>
          <w:color w:val="auto"/>
          <w:kern w:val="0"/>
          <w:szCs w:val="21"/>
          <w:highlight w:val="none"/>
        </w:rPr>
      </w:pPr>
      <w:r>
        <w:rPr>
          <w:rFonts w:hint="eastAsia" w:ascii="Times New Roman" w:hAnsi="Times New Roman" w:cs="Arial"/>
          <w:snapToGrid w:val="0"/>
          <w:color w:val="auto"/>
          <w:kern w:val="0"/>
          <w:szCs w:val="21"/>
          <w:highlight w:val="none"/>
        </w:rPr>
        <w:t>在中央巡视、各级审计和财政监督中未发现问题。</w:t>
      </w:r>
    </w:p>
    <w:p>
      <w:pPr>
        <w:bidi w:val="0"/>
        <w:sectPr>
          <w:pgSz w:w="11906" w:h="16838"/>
          <w:pgMar w:top="2098" w:right="1474" w:bottom="1984" w:left="1587" w:header="851" w:footer="992" w:gutter="0"/>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31"/>
        <w:ind w:firstLine="562"/>
        <w:jc w:val="center"/>
        <w:rPr>
          <w:rFonts w:hint="eastAsia" w:ascii="仿宋_GB2312" w:hAnsi="仿宋_GB2312" w:eastAsia="仿宋_GB2312" w:cs="仿宋_GB2312"/>
          <w:b/>
          <w:bCs/>
          <w:color w:val="auto"/>
          <w:sz w:val="28"/>
          <w:szCs w:val="40"/>
          <w:highlight w:val="none"/>
          <w:lang w:val="en-US" w:eastAsia="zh-CN"/>
        </w:rPr>
      </w:pPr>
      <w:bookmarkStart w:id="0" w:name="_Toc30064_WPSOffice_Level1"/>
      <w:bookmarkStart w:id="1" w:name="_Toc26499_WPSOffice_Level2"/>
      <w:r>
        <w:rPr>
          <w:rFonts w:hint="eastAsia" w:ascii="Times New Roman" w:hAnsi="Times New Roman" w:eastAsia="黑体" w:cs="Arial"/>
          <w:snapToGrid w:val="0"/>
          <w:color w:val="auto"/>
          <w:w w:val="100"/>
          <w:kern w:val="0"/>
          <w:sz w:val="30"/>
          <w:szCs w:val="30"/>
          <w:highlight w:val="none"/>
          <w:lang w:val="en-US" w:eastAsia="zh-CN"/>
        </w:rPr>
        <w:t>自治区中小企业发展专项资金（本级）</w:t>
      </w:r>
      <w:bookmarkStart w:id="2" w:name="_GoBack"/>
      <w:bookmarkEnd w:id="2"/>
    </w:p>
    <w:p>
      <w:pPr>
        <w:pStyle w:val="31"/>
        <w:ind w:firstLine="562"/>
        <w:jc w:val="center"/>
        <w:rPr>
          <w:rFonts w:hint="eastAsia" w:ascii="仿宋_GB2312" w:hAnsi="仿宋_GB2312" w:eastAsia="仿宋_GB2312" w:cs="仿宋_GB2312"/>
          <w:sz w:val="28"/>
          <w:szCs w:val="40"/>
        </w:rPr>
      </w:pPr>
      <w:r>
        <w:rPr>
          <w:rFonts w:hint="eastAsia" w:ascii="仿宋_GB2312" w:hAnsi="仿宋_GB2312" w:eastAsia="仿宋_GB2312" w:cs="仿宋_GB2312"/>
          <w:b/>
          <w:bCs/>
          <w:sz w:val="28"/>
          <w:szCs w:val="40"/>
        </w:rPr>
        <w:t>绩效评价指标体系及综合评分表</w:t>
      </w:r>
      <w:bookmarkEnd w:id="0"/>
      <w:bookmarkEnd w:id="1"/>
    </w:p>
    <w:tbl>
      <w:tblPr>
        <w:tblStyle w:val="20"/>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37"/>
        <w:gridCol w:w="1037"/>
        <w:gridCol w:w="1037"/>
        <w:gridCol w:w="1506"/>
        <w:gridCol w:w="4699"/>
        <w:gridCol w:w="1115"/>
        <w:gridCol w:w="117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shd w:val="clear" w:color="auto" w:fill="auto"/>
                <w:lang w:eastAsia="zh-CN"/>
              </w:rPr>
            </w:pPr>
            <w:r>
              <w:rPr>
                <w:rFonts w:hint="eastAsia" w:eastAsia="仿宋_GB2312" w:cs="Times New Roman"/>
                <w:b/>
                <w:bCs/>
                <w:color w:val="auto"/>
                <w:kern w:val="0"/>
                <w:sz w:val="18"/>
                <w:szCs w:val="18"/>
                <w:highlight w:val="none"/>
                <w:shd w:val="clear" w:color="auto" w:fil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shd w:val="clear" w:color="auto" w:fill="auto"/>
                <w:lang w:eastAsia="zh-CN"/>
              </w:rPr>
            </w:pPr>
            <w:r>
              <w:rPr>
                <w:rFonts w:hint="eastAsia" w:eastAsia="仿宋_GB2312" w:cs="Times New Roman"/>
                <w:b/>
                <w:bCs/>
                <w:color w:val="auto"/>
                <w:kern w:val="0"/>
                <w:sz w:val="18"/>
                <w:szCs w:val="18"/>
                <w:highlight w:val="none"/>
                <w:shd w:val="clear" w:color="auto" w:fil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shd w:val="clear" w:color="auto" w:fill="auto"/>
                <w:lang w:eastAsia="zh-CN"/>
              </w:rPr>
            </w:pPr>
            <w:r>
              <w:rPr>
                <w:rFonts w:hint="eastAsia" w:eastAsia="仿宋_GB2312" w:cs="Times New Roman"/>
                <w:b/>
                <w:bCs/>
                <w:color w:val="auto"/>
                <w:kern w:val="0"/>
                <w:sz w:val="18"/>
                <w:szCs w:val="18"/>
                <w:highlight w:val="none"/>
                <w:shd w:val="clear" w:color="auto" w:fil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shd w:val="clear" w:color="auto" w:fill="auto"/>
                <w:lang w:eastAsia="zh-CN"/>
              </w:rPr>
            </w:pPr>
            <w:r>
              <w:rPr>
                <w:rFonts w:hint="eastAsia" w:eastAsia="仿宋_GB2312" w:cs="Times New Roman"/>
                <w:b/>
                <w:bCs/>
                <w:color w:val="auto"/>
                <w:kern w:val="0"/>
                <w:sz w:val="18"/>
                <w:szCs w:val="18"/>
                <w:highlight w:val="none"/>
                <w:shd w:val="clear" w:color="auto" w:fil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shd w:val="clear" w:color="auto" w:fill="auto"/>
                <w:lang w:eastAsia="zh-CN"/>
              </w:rPr>
            </w:pPr>
            <w:r>
              <w:rPr>
                <w:rFonts w:hint="eastAsia" w:eastAsia="仿宋_GB2312" w:cs="Times New Roman"/>
                <w:b/>
                <w:bCs/>
                <w:color w:val="auto"/>
                <w:kern w:val="0"/>
                <w:sz w:val="18"/>
                <w:szCs w:val="18"/>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shd w:val="clear" w:color="auto" w:fill="auto"/>
                <w:lang w:eastAsia="zh-CN"/>
              </w:rPr>
            </w:pPr>
            <w:r>
              <w:rPr>
                <w:rFonts w:hint="eastAsia" w:eastAsia="仿宋_GB2312" w:cs="Times New Roman"/>
                <w:b/>
                <w:bCs/>
                <w:color w:val="auto"/>
                <w:kern w:val="0"/>
                <w:sz w:val="18"/>
                <w:szCs w:val="18"/>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shd w:val="clear" w:color="auto" w:fill="auto"/>
                <w:lang w:eastAsia="zh-CN"/>
              </w:rPr>
            </w:pPr>
            <w:r>
              <w:rPr>
                <w:rFonts w:hint="eastAsia" w:eastAsia="仿宋_GB2312" w:cs="Times New Roman"/>
                <w:b/>
                <w:bCs/>
                <w:color w:val="auto"/>
                <w:kern w:val="0"/>
                <w:sz w:val="18"/>
                <w:szCs w:val="18"/>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shd w:val="clear" w:color="auto" w:fill="auto"/>
                <w:lang w:eastAsia="zh-CN"/>
              </w:rPr>
            </w:pPr>
            <w:r>
              <w:rPr>
                <w:rFonts w:hint="eastAsia" w:eastAsia="仿宋_GB2312" w:cs="Times New Roman"/>
                <w:b/>
                <w:bCs/>
                <w:color w:val="auto"/>
                <w:kern w:val="0"/>
                <w:sz w:val="18"/>
                <w:szCs w:val="18"/>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shd w:val="clear" w:color="auto" w:fill="auto"/>
                <w:lang w:eastAsia="zh-CN"/>
              </w:rPr>
            </w:pPr>
            <w:r>
              <w:rPr>
                <w:rFonts w:hint="eastAsia" w:eastAsia="仿宋_GB2312" w:cs="Times New Roman"/>
                <w:b/>
                <w:bCs/>
                <w:color w:val="auto"/>
                <w:kern w:val="0"/>
                <w:sz w:val="18"/>
                <w:szCs w:val="18"/>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shd w:val="clear" w:color="auto" w:fill="auto"/>
                <w:lang w:eastAsia="zh-CN"/>
              </w:rPr>
            </w:pPr>
            <w:r>
              <w:rPr>
                <w:rFonts w:hint="eastAsia" w:eastAsia="仿宋_GB2312" w:cs="Times New Roman"/>
                <w:b/>
                <w:bCs/>
                <w:color w:val="auto"/>
                <w:kern w:val="0"/>
                <w:sz w:val="18"/>
                <w:szCs w:val="18"/>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shd w:val="clear" w:color="auto" w:fill="auto"/>
                <w:lang w:eastAsia="zh-CN"/>
              </w:rPr>
            </w:pPr>
            <w:r>
              <w:rPr>
                <w:rFonts w:hint="eastAsia" w:eastAsia="仿宋_GB2312" w:cs="Times New Roman"/>
                <w:b/>
                <w:bCs/>
                <w:color w:val="auto"/>
                <w:kern w:val="0"/>
                <w:sz w:val="18"/>
                <w:szCs w:val="18"/>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shd w:val="clear" w:color="auto" w:fill="auto"/>
                <w:lang w:val="en-US" w:eastAsia="zh-CN"/>
              </w:rPr>
            </w:pPr>
            <w:r>
              <w:rPr>
                <w:rFonts w:hint="eastAsia" w:eastAsia="仿宋_GB2312" w:cs="Times New Roman"/>
                <w:b/>
                <w:bCs/>
                <w:color w:val="auto"/>
                <w:kern w:val="0"/>
                <w:sz w:val="18"/>
                <w:szCs w:val="18"/>
                <w:highlight w:val="none"/>
                <w:shd w:val="clear" w:color="auto" w:fil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shd w:val="clear" w:color="auto" w:fill="auto"/>
                <w:lang w:val="en-US" w:eastAsia="zh-CN"/>
              </w:rPr>
            </w:pPr>
            <w:r>
              <w:rPr>
                <w:rFonts w:hint="eastAsia" w:eastAsia="仿宋_GB2312" w:cs="Times New Roman"/>
                <w:b/>
                <w:bCs/>
                <w:color w:val="auto"/>
                <w:kern w:val="0"/>
                <w:sz w:val="18"/>
                <w:szCs w:val="18"/>
                <w:highlight w:val="none"/>
                <w:shd w:val="clear" w:color="auto" w:fil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shd w:val="clear" w:color="auto" w:fill="auto"/>
                <w:lang w:val="en-US" w:eastAsia="zh-CN"/>
              </w:rPr>
            </w:pPr>
            <w:r>
              <w:rPr>
                <w:rFonts w:hint="eastAsia" w:eastAsia="仿宋_GB2312" w:cs="Times New Roman"/>
                <w:b/>
                <w:bCs/>
                <w:color w:val="auto"/>
                <w:kern w:val="0"/>
                <w:sz w:val="18"/>
                <w:szCs w:val="18"/>
                <w:highlight w:val="none"/>
                <w:shd w:val="clear" w:color="auto" w:fil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shd w:val="clear" w:color="auto" w:fill="auto"/>
                <w:lang w:val="en-US" w:eastAsia="zh-CN"/>
              </w:rPr>
            </w:pPr>
            <w:r>
              <w:rPr>
                <w:rFonts w:hint="eastAsia" w:eastAsia="仿宋_GB2312" w:cs="Times New Roman"/>
                <w:b/>
                <w:bCs/>
                <w:color w:val="auto"/>
                <w:kern w:val="0"/>
                <w:sz w:val="18"/>
                <w:szCs w:val="18"/>
                <w:highlight w:val="none"/>
                <w:shd w:val="clear" w:color="auto" w:fil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shd w:val="clear" w:color="auto" w:fill="auto"/>
                <w:lang w:val="en-US" w:eastAsia="zh-CN"/>
              </w:rPr>
            </w:pPr>
            <w:r>
              <w:rPr>
                <w:rFonts w:hint="eastAsia" w:eastAsia="仿宋_GB2312" w:cs="Times New Roman"/>
                <w:b/>
                <w:bCs/>
                <w:color w:val="auto"/>
                <w:kern w:val="0"/>
                <w:sz w:val="18"/>
                <w:szCs w:val="18"/>
                <w:highlight w:val="none"/>
                <w:shd w:val="clear" w:color="auto" w:fil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shd w:val="clear" w:color="auto" w:fill="auto"/>
                <w:lang w:val="en-US" w:eastAsia="zh-CN"/>
              </w:rPr>
            </w:pPr>
            <w:r>
              <w:rPr>
                <w:rFonts w:hint="eastAsia" w:eastAsia="仿宋_GB2312" w:cs="Times New Roman"/>
                <w:b/>
                <w:bCs/>
                <w:color w:val="auto"/>
                <w:kern w:val="0"/>
                <w:sz w:val="18"/>
                <w:szCs w:val="18"/>
                <w:highlight w:val="none"/>
                <w:shd w:val="clear" w:color="auto" w:fill="auto"/>
                <w:lang w:val="en-US" w:eastAsia="zh-CN"/>
              </w:rPr>
              <w:t>10</w:t>
            </w:r>
          </w:p>
        </w:tc>
      </w:tr>
    </w:tbl>
    <w:p>
      <w:pPr>
        <w:pStyle w:val="18"/>
      </w:pPr>
    </w:p>
    <w:p>
      <w:pPr>
        <w:bidi w:val="0"/>
      </w:pPr>
    </w:p>
    <w:p>
      <w:pPr>
        <w:bidi w:val="0"/>
        <w:rPr>
          <w:rFonts w:hint="eastAsia" w:eastAsia="仿宋_GB2312"/>
          <w:w w:val="95"/>
          <w:sz w:val="32"/>
          <w:lang w:val="en-US" w:eastAsia="zh-CN"/>
        </w:rPr>
      </w:pPr>
    </w:p>
    <w:p>
      <w:pPr>
        <w:pStyle w:val="18"/>
        <w:sectPr>
          <w:pgSz w:w="16838" w:h="11906" w:orient="landscape"/>
          <w:pgMar w:top="1587" w:right="2098" w:bottom="1474" w:left="1984" w:header="851" w:footer="992" w:gutter="0"/>
          <w:cols w:space="425" w:num="1"/>
          <w:docGrid w:type="lines" w:linePitch="312" w:charSpace="0"/>
        </w:sectPr>
      </w:pPr>
    </w:p>
    <w:p>
      <w:pPr>
        <w:keepNext w:val="0"/>
        <w:keepLines w:val="0"/>
        <w:pageBreakBefore w:val="0"/>
        <w:widowControl w:val="0"/>
        <w:kinsoku w:val="0"/>
        <w:wordWrap/>
        <w:overflowPunct/>
        <w:topLinePunct w:val="0"/>
        <w:autoSpaceDE/>
        <w:autoSpaceDN/>
        <w:bidi w:val="0"/>
        <w:adjustRightInd w:val="0"/>
        <w:snapToGrid w:val="0"/>
        <w:spacing w:after="120" w:afterLines="0" w:afterAutospacing="0" w:line="560" w:lineRule="exact"/>
        <w:ind w:firstLine="0" w:firstLineChars="0"/>
        <w:jc w:val="both"/>
        <w:textAlignment w:val="baseline"/>
        <w:rPr>
          <w:rFonts w:hint="default" w:ascii="Times New Roman" w:hAnsi="Times New Roman" w:eastAsia="黑体" w:cs="Arial"/>
          <w:snapToGrid w:val="0"/>
          <w:color w:val="auto"/>
          <w:kern w:val="0"/>
          <w:sz w:val="32"/>
          <w:szCs w:val="21"/>
          <w:highlight w:val="none"/>
          <w:lang w:val="en-US" w:eastAsia="zh-CN"/>
        </w:rPr>
      </w:pPr>
      <w:r>
        <w:rPr>
          <w:rFonts w:hint="eastAsia" w:ascii="Times New Roman" w:hAnsi="Times New Roman" w:eastAsia="黑体" w:cs="Arial"/>
          <w:snapToGrid w:val="0"/>
          <w:color w:val="auto"/>
          <w:kern w:val="0"/>
          <w:sz w:val="32"/>
          <w:szCs w:val="21"/>
          <w:highlight w:val="none"/>
          <w:lang w:val="en-US" w:eastAsia="zh-CN"/>
        </w:rPr>
        <w:t>附件2</w:t>
      </w:r>
    </w:p>
    <w:p>
      <w:pPr>
        <w:keepNext w:val="0"/>
        <w:keepLines w:val="0"/>
        <w:pageBreakBefore w:val="0"/>
        <w:widowControl w:val="0"/>
        <w:kinsoku w:val="0"/>
        <w:wordWrap/>
        <w:overflowPunct/>
        <w:topLinePunct w:val="0"/>
        <w:autoSpaceDE/>
        <w:autoSpaceDN/>
        <w:bidi w:val="0"/>
        <w:adjustRightInd w:val="0"/>
        <w:snapToGrid w:val="0"/>
        <w:spacing w:line="440" w:lineRule="exact"/>
        <w:ind w:firstLine="0" w:firstLineChars="0"/>
        <w:jc w:val="center"/>
        <w:textAlignment w:val="baseline"/>
        <w:rPr>
          <w:rFonts w:hint="eastAsia" w:ascii="Times New Roman" w:hAnsi="Times New Roman" w:eastAsia="黑体" w:cs="Arial"/>
          <w:snapToGrid w:val="0"/>
          <w:color w:val="auto"/>
          <w:w w:val="100"/>
          <w:kern w:val="0"/>
          <w:sz w:val="30"/>
          <w:szCs w:val="30"/>
          <w:highlight w:val="none"/>
          <w:lang w:val="en-US" w:eastAsia="zh-CN"/>
        </w:rPr>
      </w:pPr>
      <w:r>
        <w:rPr>
          <w:rFonts w:hint="eastAsia" w:ascii="Times New Roman" w:hAnsi="Times New Roman" w:eastAsia="黑体" w:cs="Arial"/>
          <w:snapToGrid w:val="0"/>
          <w:color w:val="auto"/>
          <w:w w:val="100"/>
          <w:kern w:val="0"/>
          <w:sz w:val="30"/>
          <w:szCs w:val="30"/>
          <w:highlight w:val="none"/>
          <w:lang w:val="en-US" w:eastAsia="zh-CN"/>
        </w:rPr>
        <w:t>自治区中小企业发展专项资金（本级）绩效目标自评表</w:t>
      </w:r>
    </w:p>
    <w:p>
      <w:pPr>
        <w:keepNext w:val="0"/>
        <w:keepLines w:val="0"/>
        <w:pageBreakBefore w:val="0"/>
        <w:widowControl w:val="0"/>
        <w:kinsoku w:val="0"/>
        <w:wordWrap/>
        <w:overflowPunct/>
        <w:topLinePunct w:val="0"/>
        <w:autoSpaceDE/>
        <w:autoSpaceDN/>
        <w:bidi w:val="0"/>
        <w:adjustRightInd w:val="0"/>
        <w:snapToGrid w:val="0"/>
        <w:spacing w:line="440" w:lineRule="exact"/>
        <w:ind w:firstLine="0" w:firstLineChars="0"/>
        <w:jc w:val="center"/>
        <w:textAlignment w:val="baseline"/>
        <w:rPr>
          <w:rFonts w:hint="eastAsia" w:ascii="Times New Roman" w:hAnsi="Times New Roman" w:eastAsia="黑体" w:cs="Arial"/>
          <w:snapToGrid w:val="0"/>
          <w:color w:val="auto"/>
          <w:w w:val="100"/>
          <w:kern w:val="0"/>
          <w:sz w:val="30"/>
          <w:szCs w:val="30"/>
          <w:highlight w:val="none"/>
          <w:lang w:val="en-US" w:eastAsia="zh-CN"/>
        </w:rPr>
      </w:pPr>
      <w:r>
        <w:rPr>
          <w:rFonts w:hint="eastAsia" w:ascii="Times New Roman" w:hAnsi="Times New Roman" w:eastAsia="黑体" w:cs="Arial"/>
          <w:snapToGrid w:val="0"/>
          <w:color w:val="auto"/>
          <w:w w:val="100"/>
          <w:kern w:val="0"/>
          <w:sz w:val="30"/>
          <w:szCs w:val="30"/>
          <w:highlight w:val="none"/>
          <w:lang w:val="en-US" w:eastAsia="zh-CN"/>
        </w:rPr>
        <w:t>（2024年度）</w:t>
      </w:r>
    </w:p>
    <w:tbl>
      <w:tblPr>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814"/>
        <w:gridCol w:w="814"/>
        <w:gridCol w:w="814"/>
        <w:gridCol w:w="814"/>
        <w:gridCol w:w="1108"/>
        <w:gridCol w:w="1088"/>
        <w:gridCol w:w="1093"/>
        <w:gridCol w:w="1043"/>
        <w:gridCol w:w="977"/>
        <w:gridCol w:w="814"/>
        <w:gridCol w:w="988"/>
        <w:gridCol w:w="814"/>
        <w:gridCol w:w="814"/>
        <w:gridCol w:w="9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2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项目名称</w:t>
            </w:r>
          </w:p>
        </w:tc>
        <w:tc>
          <w:tcPr>
            <w:tcW w:w="4575" w:type="pct"/>
            <w:gridSpan w:val="1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自治区中小企业发展专项资金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2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主管部门</w:t>
            </w:r>
          </w:p>
        </w:tc>
        <w:tc>
          <w:tcPr>
            <w:tcW w:w="1674"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新疆维吾尔自治区工业和信息化厅</w:t>
            </w:r>
          </w:p>
        </w:tc>
        <w:tc>
          <w:tcPr>
            <w:tcW w:w="663"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实施单位</w:t>
            </w:r>
          </w:p>
        </w:tc>
        <w:tc>
          <w:tcPr>
            <w:tcW w:w="2238"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新疆维吾尔自治区工业和信息化厅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24"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项目资金</w:t>
            </w:r>
            <w:r>
              <w:rPr>
                <w:rFonts w:hint="eastAsia" w:ascii="宋体" w:hAnsi="宋体" w:eastAsia="宋体" w:cs="宋体"/>
                <w:b/>
                <w:i w:val="0"/>
                <w:color w:val="000000"/>
                <w:kern w:val="0"/>
                <w:sz w:val="18"/>
                <w:szCs w:val="18"/>
                <w:u w:val="none"/>
                <w:bdr w:val="none" w:color="auto" w:sz="0" w:space="0"/>
                <w:lang w:val="en-US" w:eastAsia="zh-CN" w:bidi="ar"/>
              </w:rPr>
              <w:br w:type="textWrapping"/>
            </w:r>
            <w:r>
              <w:rPr>
                <w:rFonts w:hint="eastAsia" w:ascii="宋体" w:hAnsi="宋体" w:eastAsia="宋体" w:cs="宋体"/>
                <w:b/>
                <w:i w:val="0"/>
                <w:color w:val="000000"/>
                <w:kern w:val="0"/>
                <w:sz w:val="18"/>
                <w:szCs w:val="18"/>
                <w:u w:val="none"/>
                <w:bdr w:val="none" w:color="auto" w:sz="0" w:space="0"/>
                <w:lang w:val="en-US" w:eastAsia="zh-CN" w:bidi="ar"/>
              </w:rPr>
              <w:t>（万元）</w:t>
            </w:r>
          </w:p>
        </w:tc>
        <w:tc>
          <w:tcPr>
            <w:tcW w:w="677" w:type="pct"/>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全年预算数</w:t>
            </w:r>
          </w:p>
        </w:tc>
        <w:tc>
          <w:tcPr>
            <w:tcW w:w="663"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全年执行数</w:t>
            </w:r>
          </w:p>
        </w:tc>
        <w:tc>
          <w:tcPr>
            <w:tcW w:w="663"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分值</w:t>
            </w:r>
          </w:p>
        </w:tc>
        <w:tc>
          <w:tcPr>
            <w:tcW w:w="752"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执行率</w:t>
            </w:r>
          </w:p>
        </w:tc>
        <w:tc>
          <w:tcPr>
            <w:tcW w:w="8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24"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67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年度资金总额</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6450.00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6450.00</w:t>
            </w:r>
          </w:p>
        </w:tc>
        <w:tc>
          <w:tcPr>
            <w:tcW w:w="663"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6446.87</w:t>
            </w:r>
          </w:p>
        </w:tc>
        <w:tc>
          <w:tcPr>
            <w:tcW w:w="663"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w:t>
            </w:r>
          </w:p>
        </w:tc>
        <w:tc>
          <w:tcPr>
            <w:tcW w:w="752"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99.95%</w:t>
            </w:r>
          </w:p>
        </w:tc>
        <w:tc>
          <w:tcPr>
            <w:tcW w:w="8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24"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67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其中：当年财政拨款</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6450.00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6450.00</w:t>
            </w:r>
          </w:p>
        </w:tc>
        <w:tc>
          <w:tcPr>
            <w:tcW w:w="663"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6446.87</w:t>
            </w:r>
          </w:p>
        </w:tc>
        <w:tc>
          <w:tcPr>
            <w:tcW w:w="663"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752"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8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24"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677"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 xml:space="preserve">  其他资金</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663"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663"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752"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8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年度总体目标</w:t>
            </w:r>
          </w:p>
        </w:tc>
        <w:tc>
          <w:tcPr>
            <w:tcW w:w="1886"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预期目标</w:t>
            </w:r>
          </w:p>
        </w:tc>
        <w:tc>
          <w:tcPr>
            <w:tcW w:w="2901" w:type="pct"/>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1886"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对专精特新企业进行培育支持，提升创新能力；2.组织企业参加创客中国大赛，提高企业创业创新能力；3.组织企业参加第十九届中博会，引导企业走出去，提高经营水平；4.对企业经营管理人员进行培训，提升经营管理水平；进一步提升中小企业产业集群专业化、特色化、集群化发展水平，促进中小企业高质量发展；强化培育专精特新企业上市。引导担保机构扩大小微企业融资担保规模，降低小微企业融资担保费率和融资担保成本，促进专注于服务小微企业的融资担保机构可持续发展，着力缓解小微企业融资难融资贵问题。</w:t>
            </w:r>
          </w:p>
        </w:tc>
        <w:tc>
          <w:tcPr>
            <w:tcW w:w="2901" w:type="pct"/>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奖励专精特新“小巨人”企业数量9家，奖励自治区专精特新中小企业数量202家，奖励国家中小企业特色产业集群2个，注册报名参加第九届“创客中国”创新创业大赛新疆区域赛项目462个，组织参加第十九届中博会企业数量32家，支持银河培训机构3个，保障中小企业发展服务平台系统1个，资金拨付及时率100%。第十九届中博会同国内企业协议签约额1433万，提高企业经营水平，有效提高，被服务对象满意率91%，基本达到了年度预定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212" w:type="pct"/>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1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一级指标</w:t>
            </w:r>
          </w:p>
        </w:tc>
        <w:tc>
          <w:tcPr>
            <w:tcW w:w="21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二级指标</w:t>
            </w:r>
          </w:p>
        </w:tc>
        <w:tc>
          <w:tcPr>
            <w:tcW w:w="465"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三级指标</w:t>
            </w:r>
          </w:p>
        </w:tc>
        <w:tc>
          <w:tcPr>
            <w:tcW w:w="331"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权重</w:t>
            </w:r>
          </w:p>
        </w:tc>
        <w:tc>
          <w:tcPr>
            <w:tcW w:w="331"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业绩值</w:t>
            </w:r>
          </w:p>
        </w:tc>
        <w:tc>
          <w:tcPr>
            <w:tcW w:w="331"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完成率</w:t>
            </w:r>
          </w:p>
        </w:tc>
        <w:tc>
          <w:tcPr>
            <w:tcW w:w="331"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指标得分</w:t>
            </w:r>
          </w:p>
        </w:tc>
        <w:tc>
          <w:tcPr>
            <w:tcW w:w="331"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指标值设定依据</w:t>
            </w:r>
          </w:p>
        </w:tc>
        <w:tc>
          <w:tcPr>
            <w:tcW w:w="331"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上年完成情况</w:t>
            </w:r>
          </w:p>
        </w:tc>
        <w:tc>
          <w:tcPr>
            <w:tcW w:w="39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赋分规则</w:t>
            </w:r>
          </w:p>
        </w:tc>
        <w:tc>
          <w:tcPr>
            <w:tcW w:w="353"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佐证资料</w:t>
            </w:r>
          </w:p>
        </w:tc>
        <w:tc>
          <w:tcPr>
            <w:tcW w:w="82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465"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1"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1"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1"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1"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1"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1"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9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53"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82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年度绩效指标完成情况</w:t>
            </w:r>
          </w:p>
        </w:tc>
        <w:tc>
          <w:tcPr>
            <w:tcW w:w="21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产出指标</w:t>
            </w:r>
          </w:p>
        </w:tc>
        <w:tc>
          <w:tcPr>
            <w:tcW w:w="21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46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支持专精特新“小巨人”企业数量（家）</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=9家</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=9家</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10家</w:t>
            </w:r>
          </w:p>
        </w:tc>
        <w:tc>
          <w:tcPr>
            <w:tcW w:w="39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46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支持专精特新中小企业数量（家）</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=202</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101</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9.9</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历史标准</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123家</w:t>
            </w:r>
          </w:p>
        </w:tc>
        <w:tc>
          <w:tcPr>
            <w:tcW w:w="39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因2024年申报企业数量较多，因此培育情况超出预期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46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注册报名参加第九届创客中国创业创新大赛项目数</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=460个</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=462个</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100.34</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4.98</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历史标准</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450个</w:t>
            </w:r>
          </w:p>
        </w:tc>
        <w:tc>
          <w:tcPr>
            <w:tcW w:w="39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46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组织企业参加第十九届中博会的数量（家）</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=30家</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=32家</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106.7</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3.73</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34家</w:t>
            </w:r>
          </w:p>
        </w:tc>
        <w:tc>
          <w:tcPr>
            <w:tcW w:w="39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因2024年中小企业市场需求较为疲软，因此企业参加展会意愿增强。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46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支持银河培训机构数量（个）</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=3个</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=3个</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12个</w:t>
            </w:r>
          </w:p>
        </w:tc>
        <w:tc>
          <w:tcPr>
            <w:tcW w:w="39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46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保障中小企业发展服务平台运行</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=1个</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=1个</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质量指标</w:t>
            </w:r>
          </w:p>
        </w:tc>
        <w:tc>
          <w:tcPr>
            <w:tcW w:w="46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培训合格率</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&gt;=90%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历史标准</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w:t>
            </w:r>
          </w:p>
        </w:tc>
        <w:tc>
          <w:tcPr>
            <w:tcW w:w="39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时效指标</w:t>
            </w:r>
          </w:p>
        </w:tc>
        <w:tc>
          <w:tcPr>
            <w:tcW w:w="46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1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成本指标</w:t>
            </w:r>
          </w:p>
        </w:tc>
        <w:tc>
          <w:tcPr>
            <w:tcW w:w="21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经济成本指标</w:t>
            </w:r>
          </w:p>
        </w:tc>
        <w:tc>
          <w:tcPr>
            <w:tcW w:w="46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专精特新“小巨人”企业扶持标准</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&lt;=100万元/家</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=100万元/家</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经济成本指标</w:t>
            </w:r>
          </w:p>
        </w:tc>
        <w:tc>
          <w:tcPr>
            <w:tcW w:w="46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专精特新中小企业扶持标准</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=25万元/家</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=25万元/家</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社会成本指标</w:t>
            </w:r>
          </w:p>
        </w:tc>
        <w:tc>
          <w:tcPr>
            <w:tcW w:w="46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生态环境成本指标</w:t>
            </w:r>
          </w:p>
        </w:tc>
        <w:tc>
          <w:tcPr>
            <w:tcW w:w="46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1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效益指标</w:t>
            </w:r>
          </w:p>
        </w:tc>
        <w:tc>
          <w:tcPr>
            <w:tcW w:w="21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经济效益指标</w:t>
            </w:r>
          </w:p>
        </w:tc>
        <w:tc>
          <w:tcPr>
            <w:tcW w:w="46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专精特新企业主营业务收入占营业收入比重</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&gt;=95%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=94.6%</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99.58</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4.95</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历史标准</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95%</w:t>
            </w:r>
          </w:p>
        </w:tc>
        <w:tc>
          <w:tcPr>
            <w:tcW w:w="39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受市场环境影响，部分企业探索开拓新业务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经济效益指标</w:t>
            </w:r>
          </w:p>
        </w:tc>
        <w:tc>
          <w:tcPr>
            <w:tcW w:w="46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第十九届中博会同国内企业签约金额</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&gt;=1400万元</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=1433万元</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102.4</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3.9</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历史标准</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1300万元</w:t>
            </w:r>
          </w:p>
        </w:tc>
        <w:tc>
          <w:tcPr>
            <w:tcW w:w="39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因2024年中博会新疆代表团参展企业主要为新疆优势特色的传统中医药、农副产品加工等行业，因此在内地较受欢迎，故成交额稍有提升。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社会效益指标</w:t>
            </w:r>
          </w:p>
        </w:tc>
        <w:tc>
          <w:tcPr>
            <w:tcW w:w="46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专精特新“小巨人”研发经费支出占营业收入比重</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&gt;=3%</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=3.3%</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110</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4.5</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历史标准</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w:t>
            </w:r>
          </w:p>
        </w:tc>
        <w:tc>
          <w:tcPr>
            <w:tcW w:w="39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因国家逐年重视企业技术创新能力，故企业逐步加大研发投入力度。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社会效益指标</w:t>
            </w:r>
          </w:p>
        </w:tc>
        <w:tc>
          <w:tcPr>
            <w:tcW w:w="46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银河培训项目培训人数</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&gt;=150人</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=150人</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社会效益指标</w:t>
            </w:r>
          </w:p>
        </w:tc>
        <w:tc>
          <w:tcPr>
            <w:tcW w:w="46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各类政策信息推送数量</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&gt;=1200条</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=1260条</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105</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2.85</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因2024年惠企政策发布数量较多，因此推送数量随之上升。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生态效益指标</w:t>
            </w:r>
          </w:p>
        </w:tc>
        <w:tc>
          <w:tcPr>
            <w:tcW w:w="465"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3"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1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w:t>
            </w:r>
          </w:p>
        </w:tc>
        <w:tc>
          <w:tcPr>
            <w:tcW w:w="21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w:t>
            </w:r>
          </w:p>
        </w:tc>
        <w:tc>
          <w:tcPr>
            <w:tcW w:w="465"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企业满意度</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&gt;=90%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=91%</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101.12</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历史标准</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9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满意度赋分</w:t>
            </w:r>
          </w:p>
        </w:tc>
        <w:tc>
          <w:tcPr>
            <w:tcW w:w="353"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企业满意度达到91%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101" w:type="pct"/>
            <w:gridSpan w:val="4"/>
            <w:tcBorders>
              <w:top w:val="single" w:color="000000" w:sz="4" w:space="0"/>
              <w:left w:val="single" w:color="000000" w:sz="4" w:space="0"/>
              <w:bottom w:val="single" w:color="000000" w:sz="4" w:space="0"/>
              <w:right w:val="nil"/>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总分</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1" w:type="pct"/>
            <w:tcBorders>
              <w:top w:val="single" w:color="000000" w:sz="4" w:space="0"/>
              <w:left w:val="nil"/>
              <w:bottom w:val="single" w:color="000000" w:sz="4" w:space="0"/>
              <w:right w:val="single" w:color="000000" w:sz="4" w:space="0"/>
            </w:tcBorders>
            <w:shd w:val="clear"/>
            <w:vAlign w:val="center"/>
          </w:tcPr>
          <w:p>
            <w:pPr>
              <w:rPr>
                <w:rFonts w:hint="eastAsia" w:ascii="宋体" w:hAnsi="宋体" w:eastAsia="宋体" w:cs="宋体"/>
                <w:b/>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98.81分</w:t>
            </w: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331"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353"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822"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r>
    </w:tbl>
    <w:p>
      <w:pPr>
        <w:pStyle w:val="18"/>
      </w:pPr>
    </w:p>
    <w:sectPr>
      <w:pgSz w:w="16838" w:h="11906" w:orient="landscape"/>
      <w:pgMar w:top="1587" w:right="2098" w:bottom="1474" w:left="198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楷体_GB2312">
    <w:altName w:val="方正楷体_GBK"/>
    <w:panose1 w:val="02000000000000000000"/>
    <w:charset w:val="86"/>
    <w:family w:val="auto"/>
    <w:pitch w:val="default"/>
    <w:sig w:usb0="00000000" w:usb1="00000000"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53A801"/>
    <w:multiLevelType w:val="multilevel"/>
    <w:tmpl w:val="2A53A801"/>
    <w:lvl w:ilvl="0" w:tentative="0">
      <w:start w:val="1"/>
      <w:numFmt w:val="none"/>
      <w:suff w:val="space"/>
      <w:lvlText w:val=""/>
      <w:lvlJc w:val="left"/>
      <w:pPr>
        <w:tabs>
          <w:tab w:val="left" w:pos="0"/>
        </w:tabs>
        <w:ind w:left="425" w:hanging="425"/>
      </w:pPr>
      <w:rPr>
        <w:rFonts w:hint="eastAsia" w:ascii="宋体" w:hAnsi="宋体" w:eastAsia="宋体"/>
        <w:b/>
        <w:i w:val="0"/>
        <w:sz w:val="28"/>
      </w:rPr>
    </w:lvl>
    <w:lvl w:ilvl="1" w:tentative="0">
      <w:start w:val="1"/>
      <w:numFmt w:val="decimal"/>
      <w:suff w:val="space"/>
      <w:lvlText w:val="%1"/>
      <w:lvlJc w:val="left"/>
      <w:pPr>
        <w:tabs>
          <w:tab w:val="left" w:pos="0"/>
        </w:tabs>
        <w:ind w:left="992" w:hanging="567"/>
      </w:pPr>
      <w:rPr>
        <w:rFonts w:hint="eastAsia" w:ascii="宋体" w:hAnsi="宋体" w:eastAsia="宋体"/>
        <w:b/>
        <w:i w:val="0"/>
        <w:sz w:val="28"/>
      </w:rPr>
    </w:lvl>
    <w:lvl w:ilvl="2" w:tentative="0">
      <w:start w:val="1"/>
      <w:numFmt w:val="decimal"/>
      <w:suff w:val="space"/>
      <w:lvlText w:val="%3  "/>
      <w:lvlJc w:val="left"/>
      <w:pPr>
        <w:tabs>
          <w:tab w:val="left" w:pos="0"/>
        </w:tabs>
        <w:ind w:left="1418" w:hanging="567"/>
      </w:pPr>
      <w:rPr>
        <w:rFonts w:hint="eastAsia" w:ascii="宋体" w:hAnsi="宋体" w:eastAsia="宋体"/>
        <w:b/>
        <w:i w:val="0"/>
        <w:sz w:val="28"/>
      </w:rPr>
    </w:lvl>
    <w:lvl w:ilvl="3" w:tentative="0">
      <w:start w:val="1"/>
      <w:numFmt w:val="decimal"/>
      <w:lvlText w:val="%1"/>
      <w:lvlJc w:val="left"/>
      <w:pPr>
        <w:tabs>
          <w:tab w:val="left" w:pos="1984"/>
        </w:tabs>
        <w:ind w:left="1984" w:hanging="708"/>
      </w:pPr>
      <w:rPr>
        <w:rFonts w:hint="eastAsia" w:ascii="宋体" w:hAnsi="宋体" w:eastAsia="宋体"/>
        <w:b/>
        <w:i w:val="0"/>
        <w:sz w:val="28"/>
      </w:rPr>
    </w:lvl>
    <w:lvl w:ilvl="4" w:tentative="0">
      <w:start w:val="1"/>
      <w:numFmt w:val="decimal"/>
      <w:pStyle w:val="23"/>
      <w:lvlText w:val="%1.%2.%3.%4.%5"/>
      <w:lvlJc w:val="left"/>
      <w:pPr>
        <w:tabs>
          <w:tab w:val="left" w:pos="314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D20AB9"/>
    <w:rsid w:val="008D6B66"/>
    <w:rsid w:val="01374E54"/>
    <w:rsid w:val="02077458"/>
    <w:rsid w:val="020B79DC"/>
    <w:rsid w:val="02AB2DA1"/>
    <w:rsid w:val="03302C64"/>
    <w:rsid w:val="03702AFA"/>
    <w:rsid w:val="04762EC6"/>
    <w:rsid w:val="055558F3"/>
    <w:rsid w:val="05ED418F"/>
    <w:rsid w:val="06460D28"/>
    <w:rsid w:val="06605FD1"/>
    <w:rsid w:val="066442BF"/>
    <w:rsid w:val="06D93A63"/>
    <w:rsid w:val="0801015E"/>
    <w:rsid w:val="08A81F16"/>
    <w:rsid w:val="08CF6101"/>
    <w:rsid w:val="08F30F9E"/>
    <w:rsid w:val="0C4B1F64"/>
    <w:rsid w:val="0C4F6583"/>
    <w:rsid w:val="0C5A702E"/>
    <w:rsid w:val="0D6813B0"/>
    <w:rsid w:val="0D9C5F33"/>
    <w:rsid w:val="0DCD06A6"/>
    <w:rsid w:val="0F2E2DA4"/>
    <w:rsid w:val="0FC14EC7"/>
    <w:rsid w:val="0FF668DD"/>
    <w:rsid w:val="104258B0"/>
    <w:rsid w:val="10505E44"/>
    <w:rsid w:val="10587D11"/>
    <w:rsid w:val="10DD7078"/>
    <w:rsid w:val="11DC45CA"/>
    <w:rsid w:val="130866EA"/>
    <w:rsid w:val="13210EE8"/>
    <w:rsid w:val="13901050"/>
    <w:rsid w:val="13DF37FB"/>
    <w:rsid w:val="158C4365"/>
    <w:rsid w:val="159F7F89"/>
    <w:rsid w:val="15B32382"/>
    <w:rsid w:val="16224929"/>
    <w:rsid w:val="162C688B"/>
    <w:rsid w:val="16CB3E3A"/>
    <w:rsid w:val="16EE0592"/>
    <w:rsid w:val="17160EEC"/>
    <w:rsid w:val="17345959"/>
    <w:rsid w:val="17C56B45"/>
    <w:rsid w:val="18FD6E10"/>
    <w:rsid w:val="19794F42"/>
    <w:rsid w:val="1ABA0F97"/>
    <w:rsid w:val="1BEB6D7D"/>
    <w:rsid w:val="1C706720"/>
    <w:rsid w:val="1D177634"/>
    <w:rsid w:val="1DCB149A"/>
    <w:rsid w:val="1DD01EB6"/>
    <w:rsid w:val="1DD60914"/>
    <w:rsid w:val="1DDA1C83"/>
    <w:rsid w:val="1EB06D6B"/>
    <w:rsid w:val="1F437251"/>
    <w:rsid w:val="20B03153"/>
    <w:rsid w:val="20E84906"/>
    <w:rsid w:val="21BD6D47"/>
    <w:rsid w:val="22893EE1"/>
    <w:rsid w:val="22DE691E"/>
    <w:rsid w:val="24481C21"/>
    <w:rsid w:val="244E09ED"/>
    <w:rsid w:val="246813DB"/>
    <w:rsid w:val="249A7FDF"/>
    <w:rsid w:val="25446E1E"/>
    <w:rsid w:val="25E27DBD"/>
    <w:rsid w:val="26A04ACD"/>
    <w:rsid w:val="26DC5F80"/>
    <w:rsid w:val="26E764D5"/>
    <w:rsid w:val="27313287"/>
    <w:rsid w:val="277E0206"/>
    <w:rsid w:val="28635AAC"/>
    <w:rsid w:val="28D20AB9"/>
    <w:rsid w:val="292657F9"/>
    <w:rsid w:val="296B6162"/>
    <w:rsid w:val="29C7601C"/>
    <w:rsid w:val="2B5C67AA"/>
    <w:rsid w:val="2BC953EA"/>
    <w:rsid w:val="2BEF3B2F"/>
    <w:rsid w:val="2C3D753C"/>
    <w:rsid w:val="2D1E7B7F"/>
    <w:rsid w:val="2E7A32AE"/>
    <w:rsid w:val="2ED132ED"/>
    <w:rsid w:val="30137621"/>
    <w:rsid w:val="307146A2"/>
    <w:rsid w:val="30C4713B"/>
    <w:rsid w:val="32B241CD"/>
    <w:rsid w:val="32CD72CC"/>
    <w:rsid w:val="33BE18D7"/>
    <w:rsid w:val="34E06470"/>
    <w:rsid w:val="356A44E4"/>
    <w:rsid w:val="360E5408"/>
    <w:rsid w:val="361F474D"/>
    <w:rsid w:val="36600BB2"/>
    <w:rsid w:val="369E6CF9"/>
    <w:rsid w:val="3850456A"/>
    <w:rsid w:val="38D57023"/>
    <w:rsid w:val="3A864E0F"/>
    <w:rsid w:val="3A886328"/>
    <w:rsid w:val="3B240F7F"/>
    <w:rsid w:val="3B436409"/>
    <w:rsid w:val="3B7D433E"/>
    <w:rsid w:val="3D7B6509"/>
    <w:rsid w:val="3D9642FB"/>
    <w:rsid w:val="3F4F204D"/>
    <w:rsid w:val="40845F2F"/>
    <w:rsid w:val="40994546"/>
    <w:rsid w:val="40D702B3"/>
    <w:rsid w:val="41A315D6"/>
    <w:rsid w:val="41EB19BD"/>
    <w:rsid w:val="41EC5F34"/>
    <w:rsid w:val="423F3047"/>
    <w:rsid w:val="42B34482"/>
    <w:rsid w:val="42EE1F45"/>
    <w:rsid w:val="43A457EA"/>
    <w:rsid w:val="43D879C8"/>
    <w:rsid w:val="43EC7039"/>
    <w:rsid w:val="44253909"/>
    <w:rsid w:val="4431427C"/>
    <w:rsid w:val="44360D20"/>
    <w:rsid w:val="4630236C"/>
    <w:rsid w:val="46AD292B"/>
    <w:rsid w:val="46CA51F4"/>
    <w:rsid w:val="48D67A73"/>
    <w:rsid w:val="4AD146D9"/>
    <w:rsid w:val="4B0C498F"/>
    <w:rsid w:val="4B2B2FE5"/>
    <w:rsid w:val="4B8B37B1"/>
    <w:rsid w:val="4BC543D9"/>
    <w:rsid w:val="4C235720"/>
    <w:rsid w:val="4C72161D"/>
    <w:rsid w:val="4CA276DE"/>
    <w:rsid w:val="4CDC006F"/>
    <w:rsid w:val="4D65495D"/>
    <w:rsid w:val="4D9610DC"/>
    <w:rsid w:val="4D9C79B1"/>
    <w:rsid w:val="4E7B579E"/>
    <w:rsid w:val="4EA13E3B"/>
    <w:rsid w:val="50A71C74"/>
    <w:rsid w:val="50B97EC2"/>
    <w:rsid w:val="510E1C33"/>
    <w:rsid w:val="51933F6C"/>
    <w:rsid w:val="51A921B8"/>
    <w:rsid w:val="51E76E15"/>
    <w:rsid w:val="52B87027"/>
    <w:rsid w:val="53D77CE6"/>
    <w:rsid w:val="54632CFC"/>
    <w:rsid w:val="54A20455"/>
    <w:rsid w:val="54D73AF9"/>
    <w:rsid w:val="5507090D"/>
    <w:rsid w:val="552E1A72"/>
    <w:rsid w:val="55A859B4"/>
    <w:rsid w:val="55FB4FCC"/>
    <w:rsid w:val="56827A61"/>
    <w:rsid w:val="568C1760"/>
    <w:rsid w:val="56D80CA7"/>
    <w:rsid w:val="56EA311A"/>
    <w:rsid w:val="572128DA"/>
    <w:rsid w:val="576376B6"/>
    <w:rsid w:val="57C05E6F"/>
    <w:rsid w:val="581E0FFB"/>
    <w:rsid w:val="586A0E02"/>
    <w:rsid w:val="58793B46"/>
    <w:rsid w:val="58B51226"/>
    <w:rsid w:val="58D72F8E"/>
    <w:rsid w:val="593D6926"/>
    <w:rsid w:val="59C22A5D"/>
    <w:rsid w:val="5A2663A2"/>
    <w:rsid w:val="5B3C6B7C"/>
    <w:rsid w:val="5BD3669B"/>
    <w:rsid w:val="5C627EDF"/>
    <w:rsid w:val="5CB848C7"/>
    <w:rsid w:val="5CFF4D02"/>
    <w:rsid w:val="5D9D732D"/>
    <w:rsid w:val="5DFC1172"/>
    <w:rsid w:val="5E495110"/>
    <w:rsid w:val="5F4A4310"/>
    <w:rsid w:val="5F832150"/>
    <w:rsid w:val="60875823"/>
    <w:rsid w:val="60B02C8E"/>
    <w:rsid w:val="60F72635"/>
    <w:rsid w:val="62596AF1"/>
    <w:rsid w:val="627C200B"/>
    <w:rsid w:val="62823C59"/>
    <w:rsid w:val="632C730D"/>
    <w:rsid w:val="633D4DC5"/>
    <w:rsid w:val="633F458D"/>
    <w:rsid w:val="634B2C98"/>
    <w:rsid w:val="64233634"/>
    <w:rsid w:val="64794AA5"/>
    <w:rsid w:val="649308B0"/>
    <w:rsid w:val="65DC7D0E"/>
    <w:rsid w:val="673C3435"/>
    <w:rsid w:val="680E6ED8"/>
    <w:rsid w:val="6899216D"/>
    <w:rsid w:val="69A14108"/>
    <w:rsid w:val="6A6758C5"/>
    <w:rsid w:val="6AAF3E48"/>
    <w:rsid w:val="6ACF4C70"/>
    <w:rsid w:val="6B4B09DF"/>
    <w:rsid w:val="6BB62F51"/>
    <w:rsid w:val="6BC339B8"/>
    <w:rsid w:val="6C15381C"/>
    <w:rsid w:val="6CCA62FC"/>
    <w:rsid w:val="6CDE737B"/>
    <w:rsid w:val="6D521516"/>
    <w:rsid w:val="6DC01176"/>
    <w:rsid w:val="6E7E2561"/>
    <w:rsid w:val="6E7E7D7D"/>
    <w:rsid w:val="6EB760D5"/>
    <w:rsid w:val="6F143BBF"/>
    <w:rsid w:val="6F4B24D3"/>
    <w:rsid w:val="6F657D89"/>
    <w:rsid w:val="70E03BA7"/>
    <w:rsid w:val="70EFA1D1"/>
    <w:rsid w:val="71023CAA"/>
    <w:rsid w:val="722E3584"/>
    <w:rsid w:val="73D17DF4"/>
    <w:rsid w:val="740109F4"/>
    <w:rsid w:val="743767EA"/>
    <w:rsid w:val="766C7695"/>
    <w:rsid w:val="76E03875"/>
    <w:rsid w:val="76FB11AB"/>
    <w:rsid w:val="77BB1A7C"/>
    <w:rsid w:val="78107E95"/>
    <w:rsid w:val="781379FB"/>
    <w:rsid w:val="783D3668"/>
    <w:rsid w:val="7942150B"/>
    <w:rsid w:val="795F08A2"/>
    <w:rsid w:val="79BD0E79"/>
    <w:rsid w:val="79C211D8"/>
    <w:rsid w:val="79CE558D"/>
    <w:rsid w:val="7A8456C9"/>
    <w:rsid w:val="7BA06F48"/>
    <w:rsid w:val="7BB5543C"/>
    <w:rsid w:val="7C2758BB"/>
    <w:rsid w:val="7C2D56AB"/>
    <w:rsid w:val="7D01070A"/>
    <w:rsid w:val="7D1E1893"/>
    <w:rsid w:val="7D494DD7"/>
    <w:rsid w:val="7EF04537"/>
    <w:rsid w:val="7F4C26A7"/>
    <w:rsid w:val="7F7172C1"/>
    <w:rsid w:val="7FB65AAD"/>
    <w:rsid w:val="7FE24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29"/>
    <w:qFormat/>
    <w:uiPriority w:val="0"/>
    <w:pPr>
      <w:widowControl w:val="0"/>
      <w:spacing w:line="560" w:lineRule="exact"/>
      <w:ind w:firstLine="420" w:firstLineChars="200"/>
      <w:jc w:val="both"/>
    </w:pPr>
    <w:rPr>
      <w:rFonts w:ascii="Times New Roman" w:hAnsi="Times New Roman" w:eastAsia="仿宋_GB2312" w:cstheme="minorBidi"/>
      <w:kern w:val="2"/>
      <w:sz w:val="32"/>
      <w:szCs w:val="24"/>
      <w:lang w:val="en-US" w:eastAsia="zh-CN" w:bidi="ar-SA"/>
    </w:rPr>
  </w:style>
  <w:style w:type="paragraph" w:styleId="3">
    <w:name w:val="heading 1"/>
    <w:basedOn w:val="4"/>
    <w:next w:val="1"/>
    <w:link w:val="24"/>
    <w:qFormat/>
    <w:uiPriority w:val="0"/>
    <w:pPr>
      <w:outlineLvl w:val="0"/>
    </w:pPr>
    <w:rPr>
      <w:rFonts w:ascii="Times New Roman" w:hAnsi="Times New Roman" w:eastAsia="方正小标宋简体" w:cs="Arial"/>
      <w:snapToGrid w:val="0"/>
      <w:color w:val="000000"/>
      <w:kern w:val="0"/>
      <w:sz w:val="44"/>
      <w:szCs w:val="21"/>
    </w:rPr>
  </w:style>
  <w:style w:type="paragraph" w:styleId="5">
    <w:name w:val="heading 2"/>
    <w:basedOn w:val="1"/>
    <w:next w:val="1"/>
    <w:link w:val="22"/>
    <w:semiHidden/>
    <w:unhideWhenUsed/>
    <w:qFormat/>
    <w:uiPriority w:val="0"/>
    <w:pPr>
      <w:keepNext/>
      <w:spacing w:line="600" w:lineRule="exact"/>
      <w:ind w:firstLine="880" w:firstLineChars="200"/>
      <w:outlineLvl w:val="1"/>
    </w:pPr>
    <w:rPr>
      <w:rFonts w:eastAsia="黑体" w:cs="Times New Roman"/>
      <w:bCs/>
      <w:iCs/>
      <w:sz w:val="32"/>
      <w:szCs w:val="36"/>
      <w:lang w:val="en-US" w:eastAsia="zh-CN" w:bidi="ar-SA"/>
    </w:rPr>
  </w:style>
  <w:style w:type="paragraph" w:styleId="6">
    <w:name w:val="heading 3"/>
    <w:basedOn w:val="1"/>
    <w:next w:val="1"/>
    <w:link w:val="25"/>
    <w:unhideWhenUsed/>
    <w:qFormat/>
    <w:uiPriority w:val="0"/>
    <w:pPr>
      <w:keepNext/>
      <w:spacing w:line="560" w:lineRule="exact"/>
      <w:ind w:firstLine="880" w:firstLineChars="200"/>
      <w:jc w:val="both"/>
      <w:outlineLvl w:val="2"/>
    </w:pPr>
    <w:rPr>
      <w:rFonts w:eastAsia="方正楷体_GB2312" w:cs="Times New Roman"/>
      <w:bCs/>
      <w:sz w:val="32"/>
      <w:szCs w:val="28"/>
      <w:lang w:val="en-US" w:eastAsia="zh-CN" w:bidi="ar-SA"/>
    </w:rPr>
  </w:style>
  <w:style w:type="paragraph" w:styleId="7">
    <w:name w:val="heading 4"/>
    <w:basedOn w:val="1"/>
    <w:next w:val="1"/>
    <w:link w:val="26"/>
    <w:unhideWhenUsed/>
    <w:qFormat/>
    <w:uiPriority w:val="0"/>
    <w:pPr>
      <w:keepNext/>
      <w:spacing w:line="560" w:lineRule="atLeast"/>
      <w:ind w:firstLine="880" w:firstLineChars="200"/>
      <w:jc w:val="both"/>
      <w:outlineLvl w:val="3"/>
    </w:pPr>
    <w:rPr>
      <w:rFonts w:eastAsia="仿宋_GB2312" w:cs="Times New Roman"/>
      <w:b/>
      <w:bCs/>
      <w:sz w:val="32"/>
      <w:szCs w:val="24"/>
      <w:lang w:val="en-US" w:eastAsia="zh-CN" w:bidi="ar-SA"/>
    </w:rPr>
  </w:style>
  <w:style w:type="paragraph" w:styleId="8">
    <w:name w:val="heading 5"/>
    <w:basedOn w:val="1"/>
    <w:next w:val="1"/>
    <w:link w:val="27"/>
    <w:semiHidden/>
    <w:unhideWhenUsed/>
    <w:qFormat/>
    <w:uiPriority w:val="0"/>
    <w:pPr>
      <w:keepNext/>
      <w:keepLines/>
      <w:spacing w:line="560" w:lineRule="exact"/>
      <w:outlineLvl w:val="4"/>
    </w:pPr>
    <w:rPr>
      <w:rFonts w:ascii="Times New Roman" w:hAnsi="Times New Roman" w:eastAsia="方正楷体_GB2312" w:cs="Times New Roman"/>
      <w:bCs/>
      <w:szCs w:val="28"/>
    </w:rPr>
  </w:style>
  <w:style w:type="character" w:default="1" w:styleId="21">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 w:type="paragraph" w:styleId="4">
    <w:name w:val="toc 3"/>
    <w:next w:val="1"/>
    <w:qFormat/>
    <w:uiPriority w:val="0"/>
    <w:pPr>
      <w:widowControl w:val="0"/>
      <w:spacing w:line="600" w:lineRule="exact"/>
      <w:ind w:left="0" w:leftChars="0" w:firstLine="0" w:firstLineChars="0"/>
      <w:jc w:val="center"/>
    </w:pPr>
    <w:rPr>
      <w:rFonts w:ascii="Times New Roman" w:hAnsi="Times New Roman" w:eastAsia="方正小标宋简体" w:cstheme="minorBidi"/>
      <w:kern w:val="2"/>
      <w:sz w:val="32"/>
      <w:szCs w:val="22"/>
      <w:lang w:val="en-US" w:eastAsia="zh-CN" w:bidi="ar-SA"/>
    </w:rPr>
  </w:style>
  <w:style w:type="paragraph" w:styleId="9">
    <w:name w:val="annotation text"/>
    <w:basedOn w:val="1"/>
    <w:qFormat/>
    <w:uiPriority w:val="0"/>
    <w:pPr>
      <w:jc w:val="left"/>
    </w:pPr>
  </w:style>
  <w:style w:type="paragraph" w:styleId="10">
    <w:name w:val="Body Text"/>
    <w:basedOn w:val="1"/>
    <w:qFormat/>
    <w:uiPriority w:val="0"/>
    <w:pPr>
      <w:spacing w:after="120" w:afterLines="0" w:afterAutospacing="0"/>
    </w:pPr>
  </w:style>
  <w:style w:type="paragraph" w:styleId="11">
    <w:name w:val="Body Text Indent"/>
    <w:basedOn w:val="1"/>
    <w:qFormat/>
    <w:uiPriority w:val="0"/>
    <w:pPr>
      <w:spacing w:after="120" w:afterLines="0" w:afterAutospacing="0"/>
      <w:ind w:left="420" w:leftChars="200"/>
    </w:pPr>
  </w:style>
  <w:style w:type="paragraph" w:styleId="12">
    <w:name w:val="Block Text"/>
    <w:basedOn w:val="1"/>
    <w:qFormat/>
    <w:uiPriority w:val="0"/>
    <w:pPr>
      <w:spacing w:after="120" w:afterLines="0" w:afterAutospacing="0"/>
      <w:ind w:left="1440" w:leftChars="700" w:rightChars="700"/>
    </w:pPr>
  </w:style>
  <w:style w:type="paragraph" w:styleId="13">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14">
    <w:name w:val="toc 1"/>
    <w:basedOn w:val="1"/>
    <w:next w:val="1"/>
    <w:qFormat/>
    <w:uiPriority w:val="0"/>
    <w:pPr>
      <w:spacing w:line="600" w:lineRule="exact"/>
      <w:ind w:firstLine="0" w:firstLineChars="0"/>
      <w:jc w:val="center"/>
    </w:pPr>
    <w:rPr>
      <w:rFonts w:ascii="Times New Roman" w:hAnsi="Times New Roman" w:eastAsia="黑体"/>
      <w:sz w:val="44"/>
    </w:rPr>
  </w:style>
  <w:style w:type="paragraph" w:styleId="15">
    <w:name w:val="List"/>
    <w:basedOn w:val="1"/>
    <w:qFormat/>
    <w:uiPriority w:val="0"/>
    <w:pPr>
      <w:ind w:left="200" w:hanging="200" w:hangingChars="200"/>
    </w:pPr>
  </w:style>
  <w:style w:type="paragraph" w:styleId="16">
    <w:name w:val="toc 2"/>
    <w:basedOn w:val="1"/>
    <w:next w:val="1"/>
    <w:qFormat/>
    <w:uiPriority w:val="0"/>
    <w:pPr>
      <w:adjustRightInd/>
      <w:snapToGrid/>
      <w:ind w:left="0" w:leftChars="0" w:firstLine="420" w:firstLineChars="200"/>
      <w:jc w:val="both"/>
    </w:pPr>
    <w:rPr>
      <w:rFonts w:ascii="Times New Roman" w:hAnsi="Times New Roman" w:eastAsia="黑体"/>
    </w:rPr>
  </w:style>
  <w:style w:type="paragraph" w:styleId="17">
    <w:name w:val="Title"/>
    <w:basedOn w:val="1"/>
    <w:qFormat/>
    <w:uiPriority w:val="0"/>
    <w:pPr>
      <w:spacing w:beforeLines="0" w:beforeAutospacing="0" w:afterLines="0" w:afterAutospacing="0" w:line="600" w:lineRule="exact"/>
      <w:ind w:firstLine="0" w:firstLineChars="0"/>
      <w:jc w:val="center"/>
      <w:outlineLvl w:val="0"/>
    </w:pPr>
    <w:rPr>
      <w:rFonts w:ascii="Times New Roman" w:hAnsi="Times New Roman"/>
      <w:b/>
      <w:sz w:val="28"/>
    </w:rPr>
  </w:style>
  <w:style w:type="paragraph" w:styleId="18">
    <w:name w:val="Body Text First Indent"/>
    <w:basedOn w:val="10"/>
    <w:qFormat/>
    <w:uiPriority w:val="0"/>
    <w:pPr>
      <w:ind w:firstLine="420" w:firstLineChars="100"/>
    </w:pPr>
  </w:style>
  <w:style w:type="paragraph" w:styleId="19">
    <w:name w:val="Body Text First Indent 2"/>
    <w:basedOn w:val="11"/>
    <w:qFormat/>
    <w:uiPriority w:val="0"/>
    <w:pPr>
      <w:ind w:firstLine="420" w:firstLineChars="200"/>
    </w:pPr>
  </w:style>
  <w:style w:type="character" w:customStyle="1" w:styleId="22">
    <w:name w:val="标题 2 字符"/>
    <w:basedOn w:val="21"/>
    <w:link w:val="5"/>
    <w:qFormat/>
    <w:uiPriority w:val="0"/>
    <w:rPr>
      <w:rFonts w:ascii="Times New Roman" w:hAnsi="Times New Roman" w:eastAsia="黑体" w:cs="Times New Roman"/>
      <w:kern w:val="2"/>
      <w:sz w:val="32"/>
      <w:szCs w:val="22"/>
      <w:lang w:val="en-US" w:eastAsia="zh-CN" w:bidi="ar-SA"/>
    </w:rPr>
  </w:style>
  <w:style w:type="paragraph" w:customStyle="1" w:styleId="23">
    <w:name w:val="样式1"/>
    <w:basedOn w:val="1"/>
    <w:qFormat/>
    <w:uiPriority w:val="0"/>
    <w:pPr>
      <w:numPr>
        <w:ilvl w:val="4"/>
        <w:numId w:val="1"/>
      </w:numPr>
      <w:ind w:left="2551" w:hanging="850" w:firstLineChars="0"/>
    </w:pPr>
  </w:style>
  <w:style w:type="character" w:customStyle="1" w:styleId="24">
    <w:name w:val="标题 1 Char"/>
    <w:link w:val="3"/>
    <w:qFormat/>
    <w:uiPriority w:val="9"/>
    <w:rPr>
      <w:rFonts w:ascii="Times New Roman" w:hAnsi="Times New Roman" w:eastAsia="方正小标宋简体" w:cs="Arial"/>
      <w:snapToGrid w:val="0"/>
      <w:color w:val="000000"/>
      <w:kern w:val="0"/>
      <w:sz w:val="44"/>
      <w:szCs w:val="21"/>
      <w:lang w:val="en-US" w:eastAsia="zh-CN"/>
    </w:rPr>
  </w:style>
  <w:style w:type="character" w:customStyle="1" w:styleId="25">
    <w:name w:val="标题 3 Char"/>
    <w:link w:val="6"/>
    <w:qFormat/>
    <w:uiPriority w:val="99"/>
    <w:rPr>
      <w:rFonts w:ascii="Times New Roman" w:hAnsi="Times New Roman" w:eastAsia="方正小标宋简体" w:cs="Times New Roman"/>
      <w:bCs/>
      <w:snapToGrid w:val="0"/>
      <w:color w:val="000000"/>
      <w:kern w:val="2"/>
      <w:sz w:val="32"/>
      <w:szCs w:val="32"/>
      <w:lang w:val="en-US" w:eastAsia="zh-CN" w:bidi="ar-SA"/>
    </w:rPr>
  </w:style>
  <w:style w:type="character" w:customStyle="1" w:styleId="26">
    <w:name w:val="标题 4 字符"/>
    <w:basedOn w:val="21"/>
    <w:link w:val="7"/>
    <w:qFormat/>
    <w:uiPriority w:val="9"/>
    <w:rPr>
      <w:rFonts w:ascii="Times New Roman" w:hAnsi="Times New Roman" w:eastAsia="仿宋_GB2312" w:cs="Times New Roman"/>
      <w:b/>
      <w:bCs/>
      <w:kern w:val="2"/>
      <w:sz w:val="28"/>
      <w:szCs w:val="24"/>
      <w:lang w:val="en-US" w:eastAsia="zh-CN" w:bidi="ar-SA"/>
    </w:rPr>
  </w:style>
  <w:style w:type="character" w:customStyle="1" w:styleId="27">
    <w:name w:val="标题 5 Char"/>
    <w:link w:val="8"/>
    <w:qFormat/>
    <w:uiPriority w:val="9"/>
    <w:rPr>
      <w:rFonts w:ascii="Times New Roman" w:hAnsi="Times New Roman" w:eastAsia="方正楷体_GB2312" w:cs="Times New Roman"/>
      <w:bCs/>
      <w:szCs w:val="28"/>
    </w:rPr>
  </w:style>
  <w:style w:type="paragraph" w:customStyle="1" w:styleId="28">
    <w:name w:val="表头"/>
    <w:basedOn w:val="15"/>
    <w:qFormat/>
    <w:uiPriority w:val="0"/>
    <w:pPr>
      <w:spacing w:line="400" w:lineRule="exact"/>
      <w:ind w:left="0" w:firstLine="0" w:firstLineChars="0"/>
      <w:jc w:val="center"/>
    </w:pPr>
    <w:rPr>
      <w:rFonts w:ascii="Times New Roman" w:hAnsi="Times New Roman" w:eastAsia="黑体" w:cstheme="minorBidi"/>
      <w:kern w:val="2"/>
      <w:sz w:val="24"/>
      <w:szCs w:val="24"/>
      <w:lang w:val="en-US" w:eastAsia="zh-CN" w:bidi="ar-SA"/>
    </w:rPr>
  </w:style>
  <w:style w:type="character" w:customStyle="1" w:styleId="29">
    <w:name w:val="NormalCharacter"/>
    <w:basedOn w:val="21"/>
    <w:link w:val="1"/>
    <w:semiHidden/>
    <w:qFormat/>
    <w:uiPriority w:val="0"/>
    <w:rPr>
      <w:rFonts w:ascii="Times New Roman" w:hAnsi="Times New Roman" w:eastAsia="仿宋_GB2312" w:cs="Times New Roman"/>
      <w:color w:val="000000"/>
      <w:kern w:val="2"/>
      <w:sz w:val="32"/>
      <w:szCs w:val="24"/>
      <w:lang w:val="en-US" w:eastAsia="zh-CN" w:bidi="ar-SA"/>
    </w:rPr>
  </w:style>
  <w:style w:type="paragraph" w:customStyle="1" w:styleId="30">
    <w:name w:val="WPSOffice手动目录 1"/>
    <w:qFormat/>
    <w:uiPriority w:val="0"/>
    <w:pPr>
      <w:ind w:leftChars="0"/>
    </w:pPr>
    <w:rPr>
      <w:rFonts w:ascii="Times New Roman" w:hAnsi="Times New Roman" w:eastAsia="宋体" w:cs="Times New Roman"/>
      <w:sz w:val="20"/>
      <w:szCs w:val="20"/>
    </w:rPr>
  </w:style>
  <w:style w:type="paragraph" w:customStyle="1" w:styleId="31">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1485</Words>
  <Characters>1608</Characters>
  <Lines>0</Lines>
  <Paragraphs>0</Paragraphs>
  <TotalTime>0</TotalTime>
  <ScaleCrop>false</ScaleCrop>
  <LinksUpToDate>false</LinksUpToDate>
  <CharactersWithSpaces>1610</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2025-03-21T10:29:00Z</dcterms:created>
  <dc:creator>wangchun</dc:creator>
  <cp:lastModifiedBy>user</cp:lastModifiedBy>
  <dcterms:modified xsi:type="dcterms:W3CDTF">2025-08-27T16:44:06Z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1A9E9E6976854F7D8C7154C44D20ACE0_11</vt:lpwstr>
  </property>
  <property fmtid="{D5CDD505-2E9C-101B-9397-08002B2CF9AE}" pid="4" name="KSOTemplateDocerSaveRecord">
    <vt:lpwstr>eyJoZGlkIjoiMzNiNGI2MGU3ZTBiNDlmYjExZDc5YzVmNjk5Y2MxNTQiLCJ1c2VySWQiOiIxMzUyMjgzNTc4In0=</vt:lpwstr>
  </property>
</Properties>
</file>