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w w:val="95"/>
          <w:kern w:val="0"/>
          <w:sz w:val="48"/>
          <w:szCs w:val="48"/>
        </w:rPr>
      </w:pPr>
      <w:r>
        <w:rPr>
          <w:rFonts w:hint="eastAsia" w:ascii="Times New Roman" w:hAnsi="Times New Roman" w:eastAsia="方正小标宋_GBK" w:cs="Times New Roman"/>
          <w:w w:val="95"/>
          <w:kern w:val="0"/>
          <w:sz w:val="48"/>
          <w:szCs w:val="48"/>
          <w:lang w:eastAsia="zh-CN"/>
        </w:rPr>
        <w:t>组团参加第二十四届中国国际工业博览会</w:t>
      </w:r>
      <w:r>
        <w:rPr>
          <w:rFonts w:hint="default" w:ascii="Times New Roman" w:hAnsi="Times New Roman" w:eastAsia="方正小标宋_GBK" w:cs="Times New Roman"/>
          <w:w w:val="95"/>
          <w:kern w:val="0"/>
          <w:sz w:val="48"/>
          <w:szCs w:val="48"/>
        </w:rPr>
        <w:t>项目支出绩效评价报告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0"/>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3236" w:leftChars="684" w:hanging="1800" w:hangingChars="500"/>
        <w:jc w:val="left"/>
        <w:rPr>
          <w:rFonts w:hint="default" w:eastAsia="仿宋_GB2312" w:cs="Times New Roman"/>
          <w:kern w:val="0"/>
          <w:sz w:val="36"/>
          <w:szCs w:val="36"/>
          <w:lang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组团参加第二十四届中国国际工业博览会</w:t>
      </w:r>
    </w:p>
    <w:p>
      <w:pPr>
        <w:spacing w:line="700" w:lineRule="exact"/>
        <w:ind w:left="4676" w:leftChars="684" w:hanging="3240" w:hangingChars="9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自治区工业和信息化厅</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张晓川</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12</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40" w:lineRule="exact"/>
        <w:ind w:firstLine="640"/>
        <w:rPr>
          <w:rStyle w:val="16"/>
          <w:rFonts w:hint="default" w:ascii="Times New Roman" w:hAnsi="Times New Roman" w:eastAsia="黑体" w:cs="Times New Roman"/>
          <w:b w:val="0"/>
          <w:spacing w:val="-4"/>
          <w:sz w:val="32"/>
          <w:szCs w:val="32"/>
        </w:rPr>
      </w:pPr>
    </w:p>
    <w:p>
      <w:pPr>
        <w:spacing w:line="540" w:lineRule="exact"/>
        <w:rPr>
          <w:rStyle w:val="16"/>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keepNext w:val="0"/>
        <w:keepLines w:val="0"/>
        <w:pageBreakBefore w:val="0"/>
        <w:widowControl w:val="0"/>
        <w:kinsoku/>
        <w:wordWrap/>
        <w:overflowPunct/>
        <w:topLinePunct w:val="0"/>
        <w:autoSpaceDE/>
        <w:autoSpaceDN w:val="0"/>
        <w:bidi w:val="0"/>
        <w:adjustRightInd/>
        <w:snapToGrid w:val="0"/>
        <w:spacing w:line="560" w:lineRule="exact"/>
        <w:ind w:firstLine="640" w:firstLineChars="200"/>
        <w:textAlignment w:val="auto"/>
        <w:rPr>
          <w:rStyle w:val="16"/>
          <w:rFonts w:hint="eastAsia" w:ascii="Times New Roman" w:hAnsi="Times New Roman" w:eastAsia="黑体" w:cs="Times New Roman"/>
          <w:b w:val="0"/>
          <w:bCs/>
          <w:spacing w:val="-4"/>
          <w:sz w:val="32"/>
          <w:szCs w:val="32"/>
          <w:highlight w:val="yellow"/>
          <w:lang w:eastAsia="zh-CN"/>
        </w:rPr>
      </w:pPr>
      <w:r>
        <w:rPr>
          <w:rFonts w:hint="default" w:ascii="Times New Roman" w:hAnsi="Times New Roman" w:eastAsia="仿宋_GB2312" w:cs="Times New Roman"/>
          <w:sz w:val="32"/>
          <w:szCs w:val="32"/>
        </w:rPr>
        <w:t>根据自治区人民政府袁玉荣副秘书长在《关于邀请参加第二十四届中国国际工业博览会的函》的批示</w:t>
      </w:r>
      <w:r>
        <w:rPr>
          <w:rFonts w:hint="eastAsia" w:eastAsia="仿宋_GB2312" w:cs="Times New Roman"/>
          <w:sz w:val="32"/>
          <w:szCs w:val="32"/>
          <w:lang w:eastAsia="zh-CN"/>
        </w:rPr>
        <w:t>和人民政府</w:t>
      </w:r>
      <w:r>
        <w:rPr>
          <w:rFonts w:hint="default" w:ascii="Times New Roman" w:hAnsi="Times New Roman" w:eastAsia="仿宋_GB2312" w:cs="Times New Roman"/>
          <w:sz w:val="32"/>
          <w:szCs w:val="32"/>
        </w:rPr>
        <w:t>主席艾尔肯·吐尼亚孜在我厅提交的《关于提请审定组团参加第二十四届中国国际工业博览会有关事宜的请示》上的批示</w:t>
      </w:r>
      <w:r>
        <w:rPr>
          <w:rFonts w:hint="eastAsia" w:ascii="Times New Roman" w:hAnsi="Times New Roman" w:eastAsia="仿宋_GB2312" w:cs="Times New Roman"/>
          <w:sz w:val="32"/>
          <w:szCs w:val="32"/>
          <w:lang w:val="en-US" w:eastAsia="zh-CN"/>
        </w:rPr>
        <w:t>精神</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在</w:t>
      </w:r>
      <w:r>
        <w:rPr>
          <w:rFonts w:hint="eastAsia" w:eastAsia="仿宋_GB2312" w:cs="Times New Roman"/>
          <w:sz w:val="32"/>
          <w:szCs w:val="32"/>
          <w:lang w:eastAsia="zh-CN"/>
        </w:rPr>
        <w:t>上海国际展览中心</w:t>
      </w:r>
      <w:r>
        <w:rPr>
          <w:rFonts w:hint="default" w:ascii="Times New Roman" w:hAnsi="Times New Roman" w:eastAsia="仿宋_GB2312" w:cs="Times New Roman"/>
          <w:sz w:val="32"/>
          <w:szCs w:val="32"/>
        </w:rPr>
        <w:t>新能源与电力电工展区认购约</w:t>
      </w:r>
      <w:r>
        <w:rPr>
          <w:rFonts w:hint="eastAsia" w:eastAsia="仿宋_GB2312" w:cs="Times New Roman"/>
          <w:sz w:val="32"/>
          <w:szCs w:val="32"/>
          <w:lang w:val="en-US" w:eastAsia="zh-CN"/>
        </w:rPr>
        <w:t>200</w:t>
      </w:r>
      <w:r>
        <w:rPr>
          <w:rFonts w:hint="default" w:ascii="Times New Roman" w:hAnsi="Times New Roman" w:eastAsia="仿宋_GB2312" w:cs="Times New Roman"/>
          <w:sz w:val="32"/>
          <w:szCs w:val="32"/>
        </w:rPr>
        <w:t>㎡开放式展位，整体设计、统一要求、开放式特装和布展。采取实物</w:t>
      </w:r>
      <w:r>
        <w:rPr>
          <w:rFonts w:hint="eastAsia" w:ascii="Times New Roman" w:hAnsi="Times New Roman" w:eastAsia="仿宋_GB2312" w:cs="Times New Roman"/>
          <w:sz w:val="32"/>
          <w:szCs w:val="32"/>
          <w:lang w:eastAsia="zh-CN"/>
        </w:rPr>
        <w:t>展示</w:t>
      </w:r>
      <w:r>
        <w:rPr>
          <w:rFonts w:hint="default" w:ascii="Times New Roman" w:hAnsi="Times New Roman" w:eastAsia="仿宋_GB2312" w:cs="Times New Roman"/>
          <w:sz w:val="32"/>
          <w:szCs w:val="32"/>
        </w:rPr>
        <w:t>为主、模型和影音图片资料</w:t>
      </w:r>
      <w:r>
        <w:rPr>
          <w:rFonts w:hint="eastAsia" w:ascii="Times New Roman" w:hAnsi="Times New Roman" w:eastAsia="仿宋_GB2312" w:cs="Times New Roman"/>
          <w:sz w:val="32"/>
          <w:szCs w:val="32"/>
          <w:lang w:eastAsia="zh-CN"/>
        </w:rPr>
        <w:t>展示</w:t>
      </w:r>
      <w:r>
        <w:rPr>
          <w:rFonts w:hint="default" w:ascii="Times New Roman" w:hAnsi="Times New Roman" w:eastAsia="仿宋_GB2312" w:cs="Times New Roman"/>
          <w:sz w:val="32"/>
          <w:szCs w:val="32"/>
        </w:rPr>
        <w:t>为辅的形式，体现形象展示、项目沟通和推介、交流洽谈</w:t>
      </w:r>
      <w:r>
        <w:rPr>
          <w:rFonts w:hint="eastAsia" w:eastAsia="仿宋_GB2312" w:cs="Times New Roman"/>
          <w:sz w:val="32"/>
          <w:szCs w:val="32"/>
          <w:lang w:eastAsia="zh-CN"/>
        </w:rPr>
        <w:t>。</w:t>
      </w:r>
    </w:p>
    <w:p>
      <w:pPr>
        <w:pStyle w:val="10"/>
        <w:numPr>
          <w:ilvl w:val="0"/>
          <w:numId w:val="0"/>
        </w:numPr>
        <w:spacing w:before="0" w:after="0" w:line="560" w:lineRule="exact"/>
        <w:ind w:firstLine="642"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keepNext w:val="0"/>
        <w:keepLines w:val="0"/>
        <w:pageBreakBefore w:val="0"/>
        <w:widowControl w:val="0"/>
        <w:kinsoku/>
        <w:wordWrap/>
        <w:overflowPunct/>
        <w:topLinePunct w:val="0"/>
        <w:autoSpaceDE/>
        <w:autoSpaceDN w:val="0"/>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项目主要内容：</w:t>
      </w:r>
      <w:r>
        <w:rPr>
          <w:rFonts w:hint="default" w:ascii="Times New Roman" w:hAnsi="Times New Roman" w:eastAsia="仿宋_GB2312" w:cs="Times New Roman"/>
          <w:sz w:val="32"/>
          <w:szCs w:val="32"/>
        </w:rPr>
        <w:t>组织各地（州、市）相关部门及区内装备制造业重点领域企业参加工博会，展示新疆工业领域尤其是装备制造业所取的成就和创新产品，进一步加强区域之间交流，大力宣传新疆自贸实验区建设，同时围绕“九大产业集群”开展招商活动，进一步促进我区装备制造业延链、补链、强链，有力带动我区工业投资和工业经济高质量发展。本次活动经费53.27万元主要用于主办方展位租赁费、展厅设计、搭建及保障服务费、举办招商推介活动（包括</w:t>
      </w:r>
      <w:r>
        <w:rPr>
          <w:rFonts w:hint="eastAsia" w:ascii="Times New Roman" w:hAnsi="Times New Roman" w:eastAsia="仿宋_GB2312" w:cs="Times New Roman"/>
          <w:sz w:val="32"/>
          <w:szCs w:val="32"/>
          <w:lang w:eastAsia="zh-CN"/>
        </w:rPr>
        <w:t>场地</w:t>
      </w:r>
      <w:r>
        <w:rPr>
          <w:rFonts w:hint="default" w:ascii="Times New Roman" w:hAnsi="Times New Roman" w:eastAsia="仿宋_GB2312" w:cs="Times New Roman"/>
          <w:sz w:val="32"/>
          <w:szCs w:val="32"/>
        </w:rPr>
        <w:t>租赁费、招商推介</w:t>
      </w:r>
      <w:r>
        <w:rPr>
          <w:rFonts w:hint="eastAsia" w:ascii="Times New Roman" w:hAnsi="Times New Roman" w:eastAsia="仿宋_GB2312" w:cs="Times New Roman"/>
          <w:sz w:val="32"/>
          <w:szCs w:val="32"/>
          <w:lang w:eastAsia="zh-CN"/>
        </w:rPr>
        <w:t>活动</w:t>
      </w:r>
      <w:r>
        <w:rPr>
          <w:rFonts w:hint="default" w:ascii="Times New Roman" w:hAnsi="Times New Roman" w:eastAsia="仿宋_GB2312" w:cs="Times New Roman"/>
          <w:sz w:val="32"/>
          <w:szCs w:val="32"/>
        </w:rPr>
        <w:t>设备租赁及</w:t>
      </w:r>
      <w:r>
        <w:rPr>
          <w:rFonts w:hint="eastAsia" w:ascii="Times New Roman" w:hAnsi="Times New Roman" w:eastAsia="仿宋_GB2312" w:cs="Times New Roman"/>
          <w:sz w:val="32"/>
          <w:szCs w:val="32"/>
          <w:lang w:eastAsia="zh-CN"/>
        </w:rPr>
        <w:t>活动</w:t>
      </w:r>
      <w:r>
        <w:rPr>
          <w:rFonts w:hint="default" w:ascii="Times New Roman" w:hAnsi="Times New Roman" w:eastAsia="仿宋_GB2312" w:cs="Times New Roman"/>
          <w:sz w:val="32"/>
          <w:szCs w:val="32"/>
        </w:rPr>
        <w:t>保障服务费）等。</w:t>
      </w:r>
    </w:p>
    <w:p>
      <w:pPr>
        <w:keepNext w:val="0"/>
        <w:keepLines w:val="0"/>
        <w:pageBreakBefore w:val="0"/>
        <w:widowControl w:val="0"/>
        <w:kinsoku/>
        <w:wordWrap/>
        <w:overflowPunct/>
        <w:topLinePunct/>
        <w:autoSpaceDE w:val="0"/>
        <w:autoSpaceDN/>
        <w:bidi w:val="0"/>
        <w:spacing w:line="560" w:lineRule="exact"/>
        <w:ind w:firstLine="600" w:firstLineChars="200"/>
        <w:textAlignment w:val="auto"/>
        <w:rPr>
          <w:rFonts w:eastAsia="仿宋_GB2312"/>
          <w:sz w:val="32"/>
          <w:szCs w:val="32"/>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eastAsia="仿宋_GB2312"/>
          <w:sz w:val="32"/>
          <w:szCs w:val="32"/>
        </w:rPr>
        <w:t>自治区代表团由袁玉荣副秘书长任团长，自治区工信厅党组成员、副厅长高华斌任副团长，自治区人民政府办公厅、工信厅、发改委、科技厅、商务厅、贸促会和各地</w:t>
      </w:r>
      <w:r>
        <w:rPr>
          <w:rFonts w:hint="eastAsia" w:eastAsia="仿宋_GB2312"/>
          <w:sz w:val="32"/>
          <w:szCs w:val="32"/>
          <w:lang w:eastAsia="zh"/>
        </w:rPr>
        <w:t>（</w:t>
      </w:r>
      <w:r>
        <w:rPr>
          <w:rFonts w:eastAsia="仿宋_GB2312"/>
          <w:sz w:val="32"/>
          <w:szCs w:val="32"/>
        </w:rPr>
        <w:t>州</w:t>
      </w:r>
      <w:r>
        <w:rPr>
          <w:rFonts w:hint="eastAsia" w:eastAsia="仿宋_GB2312"/>
          <w:sz w:val="32"/>
          <w:szCs w:val="32"/>
          <w:lang w:eastAsia="zh"/>
        </w:rPr>
        <w:t>、</w:t>
      </w:r>
      <w:r>
        <w:rPr>
          <w:rFonts w:eastAsia="仿宋_GB2312"/>
          <w:sz w:val="32"/>
          <w:szCs w:val="32"/>
        </w:rPr>
        <w:t>市</w:t>
      </w:r>
      <w:r>
        <w:rPr>
          <w:rFonts w:hint="eastAsia" w:eastAsia="仿宋_GB2312"/>
          <w:sz w:val="32"/>
          <w:szCs w:val="32"/>
          <w:lang w:eastAsia="zh"/>
        </w:rPr>
        <w:t>）</w:t>
      </w:r>
      <w:r>
        <w:rPr>
          <w:rFonts w:eastAsia="仿宋_GB2312"/>
          <w:sz w:val="32"/>
          <w:szCs w:val="32"/>
        </w:rPr>
        <w:t>有关部门及企业的114名代表组成</w:t>
      </w:r>
      <w:r>
        <w:rPr>
          <w:rFonts w:hint="eastAsia" w:eastAsia="仿宋_GB2312"/>
          <w:sz w:val="32"/>
          <w:szCs w:val="32"/>
          <w:lang w:eastAsia="zh"/>
        </w:rPr>
        <w:t>。</w:t>
      </w:r>
      <w:r>
        <w:rPr>
          <w:rFonts w:eastAsia="仿宋_GB2312"/>
          <w:sz w:val="32"/>
          <w:szCs w:val="32"/>
        </w:rPr>
        <w:t>我区</w:t>
      </w:r>
      <w:r>
        <w:rPr>
          <w:rFonts w:hint="eastAsia" w:eastAsia="仿宋_GB2312"/>
          <w:sz w:val="32"/>
          <w:szCs w:val="32"/>
          <w:lang w:eastAsia="zh"/>
        </w:rPr>
        <w:t>参展的</w:t>
      </w:r>
      <w:r>
        <w:rPr>
          <w:rFonts w:eastAsia="仿宋_GB2312"/>
          <w:sz w:val="32"/>
          <w:szCs w:val="32"/>
        </w:rPr>
        <w:t>15家装备制造企业</w:t>
      </w:r>
      <w:r>
        <w:rPr>
          <w:rFonts w:hint="eastAsia" w:eastAsia="仿宋_GB2312"/>
          <w:sz w:val="32"/>
          <w:szCs w:val="32"/>
        </w:rPr>
        <w:t>涵盖</w:t>
      </w:r>
      <w:r>
        <w:rPr>
          <w:rFonts w:eastAsia="仿宋_GB2312"/>
          <w:sz w:val="32"/>
          <w:szCs w:val="32"/>
        </w:rPr>
        <w:t>能源、石油、农机、节能环保、纺织机械等多个领域</w:t>
      </w:r>
      <w:r>
        <w:rPr>
          <w:rFonts w:hint="eastAsia" w:eastAsia="仿宋_GB2312"/>
          <w:sz w:val="32"/>
          <w:szCs w:val="32"/>
        </w:rPr>
        <w:t>，共计100余件实物和模型进行了分类展示</w:t>
      </w:r>
      <w:r>
        <w:rPr>
          <w:rFonts w:eastAsia="仿宋_GB2312"/>
          <w:sz w:val="32"/>
          <w:szCs w:val="32"/>
        </w:rPr>
        <w:t>。9月25日上午，</w:t>
      </w:r>
      <w:r>
        <w:rPr>
          <w:rFonts w:hint="eastAsia" w:eastAsia="仿宋_GB2312"/>
          <w:sz w:val="32"/>
          <w:szCs w:val="32"/>
          <w:lang w:eastAsia="zh-CN"/>
        </w:rPr>
        <w:t>开展</w:t>
      </w:r>
      <w:r>
        <w:rPr>
          <w:rFonts w:eastAsia="仿宋_GB2312"/>
          <w:sz w:val="32"/>
          <w:szCs w:val="32"/>
        </w:rPr>
        <w:t>新疆重点产业招商推介</w:t>
      </w:r>
      <w:r>
        <w:rPr>
          <w:rFonts w:hint="eastAsia" w:eastAsia="仿宋_GB2312"/>
          <w:sz w:val="32"/>
          <w:szCs w:val="32"/>
          <w:lang w:eastAsia="zh-CN"/>
        </w:rPr>
        <w:t>活动，</w:t>
      </w:r>
      <w:r>
        <w:rPr>
          <w:rFonts w:eastAsia="仿宋_GB2312"/>
          <w:sz w:val="32"/>
          <w:szCs w:val="32"/>
        </w:rPr>
        <w:t>伊犁州、昌吉州、巴州等3个地州，乌鲁木齐经济技术开发区、喀什经济开发区、哈密高新区、克拉玛依高新技术产业园区等4个园区，金风科技股份有限公司1家重点企业，围绕“九大产业集群”，向</w:t>
      </w:r>
      <w:r>
        <w:rPr>
          <w:rFonts w:hint="eastAsia" w:eastAsia="仿宋_GB2312"/>
          <w:sz w:val="32"/>
          <w:szCs w:val="32"/>
        </w:rPr>
        <w:t>参会</w:t>
      </w:r>
      <w:r>
        <w:rPr>
          <w:rFonts w:eastAsia="仿宋_GB2312"/>
          <w:sz w:val="32"/>
          <w:szCs w:val="32"/>
        </w:rPr>
        <w:t>企业推介我区的发展优势、投资环境和产业支持政策</w:t>
      </w:r>
      <w:r>
        <w:rPr>
          <w:rFonts w:hint="eastAsia" w:eastAsia="仿宋_GB2312"/>
          <w:sz w:val="32"/>
          <w:szCs w:val="32"/>
        </w:rPr>
        <w:t>，</w:t>
      </w:r>
      <w:r>
        <w:rPr>
          <w:rFonts w:eastAsia="仿宋_GB2312"/>
          <w:sz w:val="32"/>
          <w:szCs w:val="32"/>
        </w:rPr>
        <w:t>提升了新疆的知名度和吸引力，为我区工业发展注入了新动力。</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keepNext w:val="0"/>
        <w:keepLines w:val="0"/>
        <w:pageBreakBefore w:val="0"/>
        <w:widowControl w:val="0"/>
        <w:kinsoku/>
        <w:wordWrap/>
        <w:overflowPunct/>
        <w:topLinePunct/>
        <w:autoSpaceDE w:val="0"/>
        <w:autoSpaceDN/>
        <w:bidi w:val="0"/>
        <w:spacing w:line="560" w:lineRule="exact"/>
        <w:ind w:firstLine="640" w:firstLineChars="200"/>
        <w:textAlignment w:val="auto"/>
        <w:rPr>
          <w:rFonts w:hint="default" w:eastAsia="仿宋_GB2312"/>
          <w:sz w:val="32"/>
          <w:szCs w:val="32"/>
          <w:lang w:val="en-US" w:eastAsia="zh-CN"/>
        </w:rPr>
      </w:pPr>
      <w:r>
        <w:rPr>
          <w:rFonts w:hint="default" w:eastAsia="仿宋_GB2312"/>
          <w:sz w:val="32"/>
          <w:szCs w:val="32"/>
          <w:lang w:val="en-US" w:eastAsia="zh-CN"/>
        </w:rPr>
        <w:t>该项目全年预算数</w:t>
      </w:r>
      <w:r>
        <w:rPr>
          <w:rFonts w:hint="eastAsia" w:eastAsia="仿宋_GB2312"/>
          <w:sz w:val="32"/>
          <w:szCs w:val="32"/>
          <w:lang w:val="en-US" w:eastAsia="zh-CN"/>
        </w:rPr>
        <w:t>53.27</w:t>
      </w:r>
      <w:r>
        <w:rPr>
          <w:rFonts w:hint="default" w:eastAsia="仿宋_GB2312"/>
          <w:sz w:val="32"/>
          <w:szCs w:val="32"/>
          <w:lang w:val="en-US" w:eastAsia="zh-CN"/>
        </w:rPr>
        <w:t>万元，该项目资金已全部落实到位，资金来源为</w:t>
      </w:r>
      <w:r>
        <w:rPr>
          <w:rFonts w:hint="eastAsia" w:eastAsia="仿宋_GB2312"/>
          <w:sz w:val="32"/>
          <w:szCs w:val="32"/>
          <w:lang w:val="en-US" w:eastAsia="zh-CN"/>
        </w:rPr>
        <w:t>财政拨款</w:t>
      </w:r>
      <w:r>
        <w:rPr>
          <w:rFonts w:hint="default" w:eastAsia="仿宋_GB2312"/>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keepNext w:val="0"/>
        <w:keepLines w:val="0"/>
        <w:pageBreakBefore w:val="0"/>
        <w:widowControl w:val="0"/>
        <w:kinsoku/>
        <w:wordWrap/>
        <w:overflowPunct/>
        <w:topLinePunct/>
        <w:autoSpaceDE w:val="0"/>
        <w:autoSpaceDN/>
        <w:bidi w:val="0"/>
        <w:spacing w:line="560" w:lineRule="exact"/>
        <w:ind w:firstLine="640" w:firstLineChars="200"/>
        <w:textAlignment w:val="auto"/>
        <w:rPr>
          <w:rFonts w:hint="default" w:eastAsia="仿宋_GB2312"/>
          <w:sz w:val="32"/>
          <w:szCs w:val="32"/>
          <w:lang w:val="en-US" w:eastAsia="zh-CN"/>
        </w:rPr>
      </w:pPr>
      <w:r>
        <w:rPr>
          <w:rFonts w:hint="default" w:eastAsia="仿宋_GB2312"/>
          <w:sz w:val="32"/>
          <w:szCs w:val="32"/>
          <w:lang w:val="en-US" w:eastAsia="zh-CN"/>
        </w:rPr>
        <w:t>该项目全年预算数</w:t>
      </w:r>
      <w:r>
        <w:rPr>
          <w:rFonts w:hint="eastAsia" w:eastAsia="仿宋_GB2312"/>
          <w:sz w:val="32"/>
          <w:szCs w:val="32"/>
          <w:lang w:val="en-US" w:eastAsia="zh-CN"/>
        </w:rPr>
        <w:t>53.27</w:t>
      </w:r>
      <w:r>
        <w:rPr>
          <w:rFonts w:hint="default" w:eastAsia="仿宋_GB2312"/>
          <w:sz w:val="32"/>
          <w:szCs w:val="32"/>
          <w:lang w:val="en-US" w:eastAsia="zh-CN"/>
        </w:rPr>
        <w:t>万元</w:t>
      </w:r>
      <w:r>
        <w:rPr>
          <w:rFonts w:hint="eastAsia" w:eastAsia="仿宋_GB2312"/>
          <w:sz w:val="32"/>
          <w:szCs w:val="32"/>
          <w:lang w:val="en-US" w:eastAsia="zh-CN"/>
        </w:rPr>
        <w:t>，</w:t>
      </w:r>
      <w:r>
        <w:rPr>
          <w:rFonts w:hint="default" w:eastAsia="仿宋_GB2312"/>
          <w:sz w:val="32"/>
          <w:szCs w:val="32"/>
          <w:lang w:val="en-US" w:eastAsia="zh-CN"/>
        </w:rPr>
        <w:t>，全年执行数</w:t>
      </w:r>
      <w:r>
        <w:rPr>
          <w:rFonts w:hint="eastAsia" w:eastAsia="仿宋_GB2312"/>
          <w:sz w:val="32"/>
          <w:szCs w:val="32"/>
          <w:lang w:val="en-US" w:eastAsia="zh-CN"/>
        </w:rPr>
        <w:t>52.97</w:t>
      </w:r>
      <w:r>
        <w:rPr>
          <w:rFonts w:hint="default" w:eastAsia="仿宋_GB2312"/>
          <w:sz w:val="32"/>
          <w:szCs w:val="32"/>
          <w:lang w:val="en-US" w:eastAsia="zh-CN"/>
        </w:rPr>
        <w:t>万元，预算执行率为</w:t>
      </w:r>
      <w:r>
        <w:rPr>
          <w:rFonts w:hint="eastAsia" w:eastAsia="仿宋_GB2312"/>
          <w:sz w:val="32"/>
          <w:szCs w:val="32"/>
          <w:lang w:val="en-US" w:eastAsia="zh-CN"/>
        </w:rPr>
        <w:t>99.44</w:t>
      </w:r>
      <w:r>
        <w:rPr>
          <w:rFonts w:hint="default" w:eastAsia="仿宋_GB2312"/>
          <w:sz w:val="32"/>
          <w:szCs w:val="32"/>
          <w:lang w:val="en-US" w:eastAsia="zh-CN"/>
        </w:rPr>
        <w:t>%，主要用于：</w:t>
      </w:r>
      <w:r>
        <w:rPr>
          <w:rFonts w:hint="eastAsia" w:eastAsia="仿宋_GB2312"/>
          <w:sz w:val="32"/>
          <w:szCs w:val="32"/>
          <w:lang w:val="en-US" w:eastAsia="zh-CN"/>
        </w:rPr>
        <w:t>主办方展位费、新疆展区设计搭建及保障服务费、重点产业招商推介活动费、招商推介场地租赁费等</w:t>
      </w:r>
      <w:r>
        <w:rPr>
          <w:rFonts w:hint="default" w:eastAsia="仿宋_GB2312"/>
          <w:sz w:val="32"/>
          <w:szCs w:val="32"/>
          <w:lang w:val="en-US" w:eastAsia="zh-CN"/>
        </w:rPr>
        <w:t>。</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keepNext w:val="0"/>
        <w:keepLines w:val="0"/>
        <w:pageBreakBefore w:val="0"/>
        <w:widowControl w:val="0"/>
        <w:kinsoku/>
        <w:wordWrap/>
        <w:overflowPunct/>
        <w:topLinePunct/>
        <w:autoSpaceDE w:val="0"/>
        <w:autoSpaceDN/>
        <w:bidi w:val="0"/>
        <w:spacing w:line="560" w:lineRule="exact"/>
        <w:ind w:firstLine="640" w:firstLineChars="200"/>
        <w:textAlignment w:val="auto"/>
        <w:rPr>
          <w:rFonts w:hint="default" w:eastAsia="仿宋_GB2312"/>
          <w:sz w:val="32"/>
          <w:szCs w:val="32"/>
          <w:lang w:val="en-US" w:eastAsia="zh-CN"/>
        </w:rPr>
      </w:pPr>
      <w:r>
        <w:rPr>
          <w:rFonts w:hint="default" w:eastAsia="仿宋_GB2312"/>
          <w:sz w:val="32"/>
          <w:szCs w:val="32"/>
          <w:lang w:val="en-US" w:eastAsia="zh-CN"/>
        </w:rPr>
        <w:t>组团参加2024年9月24日-28日在国家会展中心（上海）举办的第二十四届中国国际工业博览会，通过工博会，可展示新疆工业领域尤其是装备制造业所取的成就和创新产品，大力宣传新疆自贸实验区建设，同时围绕“九大产业集群”开展招商活动，进一步促进我区装备制造业延链、补链、强链，有力带动我区工业投资和工业经济高质量发展。</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在数据收集与分析环节，采用了多种科学合理的方法，如问卷调查、</w:t>
      </w:r>
      <w:r>
        <w:rPr>
          <w:rFonts w:hint="eastAsia" w:eastAsia="仿宋_GB2312" w:cs="Times New Roman"/>
          <w:sz w:val="32"/>
          <w:szCs w:val="32"/>
          <w:highlight w:val="none"/>
          <w:lang w:val="en-US" w:eastAsia="zh-CN"/>
        </w:rPr>
        <w:t>座谈交流</w:t>
      </w:r>
      <w:r>
        <w:rPr>
          <w:rFonts w:hint="default" w:ascii="Times New Roman" w:hAnsi="Times New Roman" w:eastAsia="仿宋_GB2312" w:cs="Times New Roman"/>
          <w:sz w:val="32"/>
          <w:szCs w:val="32"/>
          <w:highlight w:val="none"/>
          <w:lang w:val="en-US" w:eastAsia="zh-CN"/>
        </w:rPr>
        <w:t>等，广泛收集了与项目相关的各类数据，确保评价结论的科学性和可靠性。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本项目预算绩效评价报告的评价对象是</w:t>
      </w:r>
      <w:r>
        <w:rPr>
          <w:rFonts w:hint="eastAsia" w:ascii="Times New Roman" w:hAnsi="Times New Roman" w:eastAsia="仿宋_GB2312" w:cs="Times New Roman"/>
          <w:b w:val="0"/>
          <w:bCs w:val="0"/>
          <w:kern w:val="2"/>
          <w:sz w:val="32"/>
          <w:szCs w:val="32"/>
          <w:highlight w:val="none"/>
          <w:lang w:val="en-US" w:eastAsia="zh-CN" w:bidi="ar-SA"/>
        </w:rPr>
        <w:t>组团参加第二十四届中国国际工业博览会</w:t>
      </w:r>
      <w:r>
        <w:rPr>
          <w:rFonts w:hint="default" w:ascii="Times New Roman" w:hAnsi="Times New Roman" w:eastAsia="仿宋_GB2312" w:cs="Times New Roman"/>
          <w:b w:val="0"/>
          <w:bCs w:val="0"/>
          <w:kern w:val="2"/>
          <w:sz w:val="32"/>
          <w:szCs w:val="32"/>
          <w:highlight w:val="none"/>
          <w:lang w:val="en-US" w:eastAsia="zh-CN" w:bidi="ar-SA"/>
        </w:rPr>
        <w:t>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自治区工信厅装备工业处</w:t>
      </w:r>
      <w:r>
        <w:rPr>
          <w:rFonts w:hint="default" w:ascii="Times New Roman" w:hAnsi="Times New Roman" w:eastAsia="仿宋_GB2312" w:cs="Times New Roman"/>
          <w:b w:val="0"/>
          <w:bCs w:val="0"/>
          <w:kern w:val="2"/>
          <w:sz w:val="32"/>
          <w:szCs w:val="32"/>
          <w:highlight w:val="none"/>
          <w:lang w:val="en-US" w:eastAsia="zh-CN" w:bidi="ar-SA"/>
        </w:rPr>
        <w:t>负责实施，旨在</w:t>
      </w:r>
      <w:r>
        <w:rPr>
          <w:rFonts w:hint="eastAsia" w:ascii="Times New Roman" w:hAnsi="Times New Roman" w:eastAsia="仿宋_GB2312" w:cs="Times New Roman"/>
          <w:b w:val="0"/>
          <w:bCs w:val="0"/>
          <w:kern w:val="2"/>
          <w:sz w:val="32"/>
          <w:szCs w:val="32"/>
          <w:highlight w:val="none"/>
          <w:lang w:val="en-US" w:eastAsia="zh-CN" w:bidi="ar-SA"/>
        </w:rPr>
        <w:t>组团参加，并</w:t>
      </w:r>
      <w:r>
        <w:rPr>
          <w:rFonts w:hint="default" w:ascii="Times New Roman" w:hAnsi="Times New Roman" w:eastAsia="仿宋_GB2312" w:cs="Times New Roman"/>
          <w:b w:val="0"/>
          <w:bCs w:val="0"/>
          <w:kern w:val="2"/>
          <w:sz w:val="32"/>
          <w:szCs w:val="32"/>
          <w:highlight w:val="none"/>
          <w:lang w:val="en-US" w:eastAsia="zh-CN" w:bidi="ar-SA"/>
        </w:rPr>
        <w:t>展示新疆工业领域尤其是装备制造业所取的成就和创新产品，进一步加强区域之间交流，同时围绕“九大产业集群”开展招商活动，进一步促进我区装备制造业延链、补链、强链，有力带动我区工业投资和工业经济高质量发展。项目预算涵盖从</w:t>
      </w:r>
      <w:r>
        <w:rPr>
          <w:rFonts w:hint="eastAsia" w:ascii="Times New Roman" w:hAnsi="Times New Roman" w:eastAsia="仿宋_GB2312" w:cs="Times New Roman"/>
          <w:b w:val="0"/>
          <w:bCs w:val="0"/>
          <w:kern w:val="2"/>
          <w:sz w:val="32"/>
          <w:szCs w:val="32"/>
          <w:highlight w:val="none"/>
          <w:lang w:val="en-US" w:eastAsia="zh-CN" w:bidi="ar-SA"/>
        </w:rPr>
        <w:t>2024年9月24日</w:t>
      </w:r>
      <w:r>
        <w:rPr>
          <w:rFonts w:hint="default" w:ascii="Times New Roman" w:hAnsi="Times New Roman" w:eastAsia="仿宋_GB2312" w:cs="Times New Roman"/>
          <w:b w:val="0"/>
          <w:bCs w:val="0"/>
          <w:kern w:val="2"/>
          <w:sz w:val="32"/>
          <w:szCs w:val="32"/>
          <w:highlight w:val="none"/>
          <w:lang w:val="en-US" w:eastAsia="zh-CN" w:bidi="ar-SA"/>
        </w:rPr>
        <w:t>至</w:t>
      </w:r>
      <w:r>
        <w:rPr>
          <w:rFonts w:hint="eastAsia" w:ascii="Times New Roman" w:hAnsi="Times New Roman" w:eastAsia="仿宋_GB2312" w:cs="Times New Roman"/>
          <w:b w:val="0"/>
          <w:bCs w:val="0"/>
          <w:kern w:val="2"/>
          <w:sz w:val="32"/>
          <w:szCs w:val="32"/>
          <w:highlight w:val="none"/>
          <w:lang w:val="en-US" w:eastAsia="zh-CN" w:bidi="ar-SA"/>
        </w:rPr>
        <w:t>2024年9月28日</w:t>
      </w:r>
      <w:r>
        <w:rPr>
          <w:rFonts w:hint="default" w:ascii="Times New Roman" w:hAnsi="Times New Roman" w:eastAsia="仿宋_GB2312" w:cs="Times New Roman"/>
          <w:b w:val="0"/>
          <w:bCs w:val="0"/>
          <w:kern w:val="2"/>
          <w:sz w:val="32"/>
          <w:szCs w:val="32"/>
          <w:highlight w:val="none"/>
          <w:lang w:val="en-US" w:eastAsia="zh-CN" w:bidi="ar-SA"/>
        </w:rPr>
        <w:t>的全部资金投入与支出，涉及资金总额为</w:t>
      </w:r>
      <w:r>
        <w:rPr>
          <w:rFonts w:hint="eastAsia" w:ascii="Times New Roman" w:hAnsi="Times New Roman" w:eastAsia="仿宋_GB2312" w:cs="Times New Roman"/>
          <w:b w:val="0"/>
          <w:bCs w:val="0"/>
          <w:kern w:val="2"/>
          <w:sz w:val="32"/>
          <w:szCs w:val="32"/>
          <w:highlight w:val="none"/>
          <w:lang w:val="en-US" w:eastAsia="zh-CN" w:bidi="ar-SA"/>
        </w:rPr>
        <w:t>52.97</w:t>
      </w:r>
      <w:r>
        <w:rPr>
          <w:rFonts w:hint="default" w:ascii="Times New Roman" w:hAnsi="Times New Roman" w:eastAsia="仿宋_GB2312" w:cs="Times New Roman"/>
          <w:b w:val="0"/>
          <w:bCs w:val="0"/>
          <w:kern w:val="2"/>
          <w:sz w:val="32"/>
          <w:szCs w:val="32"/>
          <w:highlight w:val="none"/>
          <w:lang w:val="en-US" w:eastAsia="zh-CN" w:bidi="ar-SA"/>
        </w:rPr>
        <w:t>万元。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经济</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影响：考察项目对社会、经济等方面的综合影响。</w:t>
      </w:r>
    </w:p>
    <w:p>
      <w:pPr>
        <w:spacing w:line="560" w:lineRule="exact"/>
        <w:ind w:firstLine="642"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w:t>
      </w:r>
      <w:r>
        <w:rPr>
          <w:rFonts w:hint="eastAsia"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rPr>
        <w:t>）公开透明。绩效评价结果应依法依规公开，并自觉接受社会监督。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hd w:val="clear"/>
        <w:spacing w:line="560" w:lineRule="exact"/>
        <w:ind w:firstLine="708" w:firstLineChars="200"/>
        <w:rPr>
          <w:rFonts w:hint="default" w:ascii="Times New Roman" w:hAnsi="Times New Roman" w:eastAsia="仿宋_GB2312" w:cs="Times New Roman"/>
          <w:color w:val="auto"/>
          <w:spacing w:val="17"/>
          <w:sz w:val="32"/>
          <w:szCs w:val="32"/>
          <w:shd w:val="clear" w:color="auto" w:fill="auto"/>
          <w:lang w:eastAsia="zh-CN"/>
        </w:rPr>
      </w:pPr>
      <w:r>
        <w:rPr>
          <w:rFonts w:hint="default" w:ascii="Times New Roman" w:hAnsi="Times New Roman" w:eastAsia="仿宋_GB2312" w:cs="Times New Roman"/>
          <w:color w:val="auto"/>
          <w:spacing w:val="17"/>
          <w:sz w:val="32"/>
          <w:szCs w:val="32"/>
          <w:shd w:val="clear" w:color="auto" w:fill="auto"/>
        </w:rPr>
        <w:t>确定各个指标相对于项目总体绩效的权重分值。在绩效评价指标体系中，项目决策权重为</w:t>
      </w:r>
      <w:r>
        <w:rPr>
          <w:rFonts w:hint="eastAsia" w:ascii="Times New Roman" w:hAnsi="Times New Roman" w:eastAsia="仿宋_GB2312" w:cs="Times New Roman"/>
          <w:color w:val="auto"/>
          <w:spacing w:val="17"/>
          <w:sz w:val="32"/>
          <w:szCs w:val="32"/>
          <w:shd w:val="clear" w:color="auto" w:fill="auto"/>
          <w:lang w:val="en-US" w:eastAsia="zh-CN"/>
        </w:rPr>
        <w:t>20</w:t>
      </w:r>
      <w:r>
        <w:rPr>
          <w:rFonts w:hint="default" w:ascii="Times New Roman" w:hAnsi="Times New Roman" w:eastAsia="仿宋_GB2312" w:cs="Times New Roman"/>
          <w:color w:val="auto"/>
          <w:spacing w:val="17"/>
          <w:sz w:val="32"/>
          <w:szCs w:val="32"/>
          <w:shd w:val="clear" w:color="auto" w:fill="auto"/>
        </w:rPr>
        <w:t>分，项目过程权重为</w:t>
      </w:r>
      <w:r>
        <w:rPr>
          <w:rFonts w:hint="eastAsia" w:ascii="Times New Roman" w:hAnsi="Times New Roman" w:eastAsia="仿宋_GB2312" w:cs="Times New Roman"/>
          <w:color w:val="auto"/>
          <w:spacing w:val="17"/>
          <w:sz w:val="32"/>
          <w:szCs w:val="32"/>
          <w:shd w:val="clear" w:color="auto" w:fill="auto"/>
          <w:lang w:val="en-US" w:eastAsia="zh-CN"/>
        </w:rPr>
        <w:t>20</w:t>
      </w:r>
      <w:r>
        <w:rPr>
          <w:rFonts w:hint="default" w:ascii="Times New Roman" w:hAnsi="Times New Roman" w:eastAsia="仿宋_GB2312" w:cs="Times New Roman"/>
          <w:color w:val="auto"/>
          <w:spacing w:val="17"/>
          <w:sz w:val="32"/>
          <w:szCs w:val="32"/>
          <w:shd w:val="clear" w:color="auto" w:fill="auto"/>
        </w:rPr>
        <w:t>分，项目产出权重为</w:t>
      </w:r>
      <w:r>
        <w:rPr>
          <w:rFonts w:hint="eastAsia" w:ascii="Times New Roman" w:hAnsi="Times New Roman" w:eastAsia="仿宋_GB2312" w:cs="Times New Roman"/>
          <w:color w:val="auto"/>
          <w:spacing w:val="17"/>
          <w:sz w:val="32"/>
          <w:szCs w:val="32"/>
          <w:shd w:val="clear" w:color="auto" w:fill="auto"/>
          <w:lang w:val="en-US" w:eastAsia="zh-CN"/>
        </w:rPr>
        <w:t>40</w:t>
      </w:r>
      <w:r>
        <w:rPr>
          <w:rFonts w:hint="default" w:ascii="Times New Roman" w:hAnsi="Times New Roman" w:eastAsia="仿宋_GB2312" w:cs="Times New Roman"/>
          <w:color w:val="auto"/>
          <w:spacing w:val="17"/>
          <w:sz w:val="32"/>
          <w:szCs w:val="32"/>
          <w:shd w:val="clear" w:color="auto" w:fill="auto"/>
        </w:rPr>
        <w:t>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二</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）其他评价方法。</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val="en-US" w:eastAsia="zh-CN"/>
        </w:rPr>
        <w:t>历史</w:t>
      </w:r>
      <w:r>
        <w:rPr>
          <w:rFonts w:hint="default" w:ascii="Times New Roman" w:hAnsi="Times New Roman" w:eastAsia="仿宋_GB2312" w:cs="Times New Roman"/>
          <w:b w:val="0"/>
          <w:bCs w:val="0"/>
        </w:rPr>
        <w:t>标准</w:t>
      </w:r>
      <w:r>
        <w:rPr>
          <w:rFonts w:hint="eastAsia" w:ascii="Times New Roman" w:hAnsi="Times New Roman" w:eastAsia="仿宋_GB2312" w:cs="Times New Roman"/>
          <w:b w:val="0"/>
          <w:bCs w:val="0"/>
          <w:lang w:eastAsia="zh-CN"/>
        </w:rPr>
        <w:t>和预算指出标准</w:t>
      </w:r>
      <w:r>
        <w:rPr>
          <w:rFonts w:hint="default" w:ascii="Times New Roman" w:hAnsi="Times New Roman" w:eastAsia="仿宋_GB2312" w:cs="Times New Roman"/>
          <w:b w:val="0"/>
          <w:bCs w:val="0"/>
        </w:rPr>
        <w:t>。</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eastAsia"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pPr>
        <w:pStyle w:val="10"/>
        <w:numPr>
          <w:ilvl w:val="0"/>
          <w:numId w:val="2"/>
        </w:numPr>
        <w:spacing w:before="0" w:after="0" w:line="560" w:lineRule="exact"/>
        <w:ind w:firstLine="710"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w:t>
      </w:r>
      <w:r>
        <w:rPr>
          <w:rFonts w:hint="eastAsia" w:eastAsia="仿宋_GB2312" w:cs="Times New Roman"/>
          <w:sz w:val="32"/>
          <w:szCs w:val="32"/>
          <w:highlight w:val="none"/>
          <w:lang w:eastAsia="zh-CN"/>
        </w:rPr>
        <w:t>行业</w:t>
      </w:r>
      <w:r>
        <w:rPr>
          <w:rFonts w:hint="default" w:ascii="Times New Roman" w:hAnsi="Times New Roman" w:eastAsia="仿宋_GB2312" w:cs="Times New Roman"/>
          <w:sz w:val="32"/>
          <w:szCs w:val="32"/>
          <w:highlight w:val="none"/>
        </w:rPr>
        <w:t>专业人员及相关领域技术骨干组成，确保从多角度、全方位对项目绩效进行评价。同时，明确了评价工作的目标、范围、重点及时间安排，制定了详细的工作</w:t>
      </w:r>
      <w:r>
        <w:rPr>
          <w:rFonts w:hint="eastAsia" w:eastAsia="仿宋_GB2312" w:cs="Times New Roman"/>
          <w:sz w:val="32"/>
          <w:szCs w:val="32"/>
          <w:highlight w:val="none"/>
          <w:lang w:eastAsia="zh-CN"/>
        </w:rPr>
        <w:t>方案</w:t>
      </w:r>
      <w:r>
        <w:rPr>
          <w:rFonts w:hint="default" w:ascii="Times New Roman" w:hAnsi="Times New Roman" w:eastAsia="仿宋_GB2312" w:cs="Times New Roman"/>
          <w:sz w:val="32"/>
          <w:szCs w:val="32"/>
          <w:highlight w:val="none"/>
        </w:rPr>
        <w:t>，为评价工作的顺利开展奠定了坚实基础。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keepNext w:val="0"/>
        <w:keepLines w:val="0"/>
        <w:pageBreakBefore w:val="0"/>
        <w:widowControl w:val="0"/>
        <w:kinsoku/>
        <w:wordWrap/>
        <w:overflowPunct/>
        <w:topLinePunct/>
        <w:autoSpaceDE w:val="0"/>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本项目的综合评价基于对项目各方面绩效的深入分析与评估。从项目目标的达成情况来看，组团参加第二十四届中国国际工业博览会项目在</w:t>
      </w:r>
      <w:r>
        <w:rPr>
          <w:rFonts w:hint="eastAsia" w:ascii="Times New Roman" w:hAnsi="Times New Roman" w:eastAsia="仿宋_GB2312" w:cs="Times New Roman"/>
          <w:sz w:val="32"/>
          <w:szCs w:val="32"/>
          <w:highlight w:val="none"/>
          <w:lang w:eastAsia="zh-CN"/>
        </w:rPr>
        <w:t>代表团人员参展率、参加活动天数、招商推介活动场次数量</w:t>
      </w:r>
      <w:r>
        <w:rPr>
          <w:rFonts w:hint="default" w:ascii="Times New Roman" w:hAnsi="Times New Roman" w:eastAsia="仿宋_GB2312" w:cs="Times New Roman"/>
          <w:sz w:val="32"/>
          <w:szCs w:val="32"/>
          <w:highlight w:val="none"/>
        </w:rPr>
        <w:t>等方面表现出色，达到了预期的标准与要求。同时，项目也在洽谈</w:t>
      </w:r>
      <w:r>
        <w:rPr>
          <w:rFonts w:hint="eastAsia" w:ascii="Times New Roman" w:hAnsi="Times New Roman" w:eastAsia="仿宋_GB2312" w:cs="Times New Roman"/>
          <w:sz w:val="32"/>
          <w:szCs w:val="32"/>
          <w:highlight w:val="none"/>
        </w:rPr>
        <w:t>推动</w:t>
      </w:r>
      <w:r>
        <w:rPr>
          <w:rFonts w:hint="default" w:ascii="Times New Roman" w:hAnsi="Times New Roman" w:eastAsia="仿宋_GB2312" w:cs="Times New Roman"/>
          <w:sz w:val="32"/>
          <w:szCs w:val="32"/>
          <w:highlight w:val="none"/>
        </w:rPr>
        <w:t>招商引资工作取得了显著的成效，如</w:t>
      </w:r>
      <w:r>
        <w:rPr>
          <w:rFonts w:hint="eastAsia" w:ascii="Times New Roman" w:hAnsi="Times New Roman" w:eastAsia="仿宋_GB2312" w:cs="Times New Roman"/>
          <w:sz w:val="32"/>
          <w:szCs w:val="32"/>
          <w:highlight w:val="none"/>
        </w:rPr>
        <w:t>哈密市</w:t>
      </w:r>
      <w:r>
        <w:rPr>
          <w:rFonts w:hint="default" w:ascii="Times New Roman" w:hAnsi="Times New Roman" w:eastAsia="仿宋_GB2312" w:cs="Times New Roman"/>
          <w:sz w:val="32"/>
          <w:szCs w:val="32"/>
          <w:highlight w:val="none"/>
        </w:rPr>
        <w:t>代表</w:t>
      </w:r>
      <w:r>
        <w:rPr>
          <w:rFonts w:hint="eastAsia" w:ascii="Times New Roman" w:hAnsi="Times New Roman" w:eastAsia="仿宋_GB2312" w:cs="Times New Roman"/>
          <w:sz w:val="32"/>
          <w:szCs w:val="32"/>
          <w:highlight w:val="none"/>
        </w:rPr>
        <w:t>团</w:t>
      </w:r>
      <w:r>
        <w:rPr>
          <w:rFonts w:hint="default" w:ascii="Times New Roman" w:hAnsi="Times New Roman" w:eastAsia="仿宋_GB2312" w:cs="Times New Roman"/>
          <w:sz w:val="32"/>
          <w:szCs w:val="32"/>
          <w:highlight w:val="none"/>
        </w:rPr>
        <w:t>与上海</w:t>
      </w:r>
      <w:r>
        <w:rPr>
          <w:rFonts w:hint="eastAsia" w:ascii="Times New Roman" w:hAnsi="Times New Roman" w:eastAsia="仿宋_GB2312" w:cs="Times New Roman"/>
          <w:sz w:val="32"/>
          <w:szCs w:val="32"/>
          <w:highlight w:val="none"/>
        </w:rPr>
        <w:t>戊正工程技术有限公司就哈密市落地的新疆天科隆化学有限公司6.2万吨/年绿电制氢、延链生产50万吨/年绿色草酰胺项目进一步洽谈沟通，确保项目如期开工。乌鲁木齐市代表团与中国石化南京化学工业公司就乌鲁木齐市化工产业发展进行了深入交流，并就乌鲁木齐市发展化工产业优势条件进行推介，双方已初步达成合作意向</w:t>
      </w:r>
      <w:r>
        <w:rPr>
          <w:rFonts w:hint="default" w:ascii="Times New Roman" w:hAnsi="Times New Roman" w:eastAsia="仿宋_GB2312" w:cs="Times New Roman"/>
          <w:sz w:val="32"/>
          <w:szCs w:val="32"/>
          <w:highlight w:val="none"/>
        </w:rPr>
        <w:t>等。</w:t>
      </w:r>
    </w:p>
    <w:p>
      <w:pPr>
        <w:keepNext w:val="0"/>
        <w:keepLines w:val="0"/>
        <w:pageBreakBefore w:val="0"/>
        <w:widowControl w:val="0"/>
        <w:kinsoku/>
        <w:wordWrap/>
        <w:overflowPunct/>
        <w:topLinePunct/>
        <w:autoSpaceDE w:val="0"/>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自治区工信厅装备工业处</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keepNext w:val="0"/>
        <w:keepLines w:val="0"/>
        <w:pageBreakBefore w:val="0"/>
        <w:widowControl w:val="0"/>
        <w:kinsoku/>
        <w:wordWrap/>
        <w:overflowPunct/>
        <w:topLinePunct/>
        <w:autoSpaceDE w:val="0"/>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ascii="Times New Roman" w:hAnsi="Times New Roman"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等方面产生了积极的影响。具体而言，进一步了解了国内外工业发展的最新趋势和先进技术，为产业升级和转型提供了有力支持</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推动兄弟省市先进制造产业向新疆转移，为高质量建设“九大产业集群”蓄势聚力</w:t>
      </w:r>
      <w:r>
        <w:rPr>
          <w:rFonts w:hint="default" w:ascii="Times New Roman" w:hAnsi="Times New Roman" w:eastAsia="仿宋_GB2312" w:cs="Times New Roman"/>
          <w:sz w:val="32"/>
          <w:szCs w:val="32"/>
          <w:highlight w:val="none"/>
        </w:rPr>
        <w:t>等方面，为项目的利益相关者带来了实实在在的利益。</w:t>
      </w:r>
    </w:p>
    <w:p>
      <w:pPr>
        <w:keepNext w:val="0"/>
        <w:keepLines w:val="0"/>
        <w:pageBreakBefore w:val="0"/>
        <w:widowControl w:val="0"/>
        <w:kinsoku/>
        <w:wordWrap/>
        <w:overflowPunct/>
        <w:topLinePunct/>
        <w:autoSpaceDE w:val="0"/>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lang w:eastAsia="zh-CN"/>
        </w:rPr>
        <w:t>组团参加第二十四届中国国际工业博览会项目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分，属于“优（良/中/差）”。其中，项目决策类指标权重为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%。项目产出类指标权重为</w:t>
      </w:r>
      <w:r>
        <w:rPr>
          <w:rFonts w:hint="eastAsia" w:ascii="Times New Roman" w:hAnsi="Times New Roman" w:eastAsia="仿宋_GB2312" w:cs="Times New Roman"/>
          <w:b w:val="0"/>
          <w:bCs w:val="0"/>
          <w:lang w:val="en-US" w:eastAsia="zh-CN"/>
        </w:rPr>
        <w:t>40</w:t>
      </w:r>
      <w:r>
        <w:rPr>
          <w:rFonts w:hint="default" w:ascii="Times New Roman" w:hAnsi="Times New Roman" w:eastAsia="仿宋_GB2312" w:cs="Times New Roman"/>
          <w:b w:val="0"/>
          <w:bCs w:val="0"/>
        </w:rPr>
        <w:t>分，得分为</w:t>
      </w:r>
      <w:r>
        <w:rPr>
          <w:rFonts w:hint="eastAsia" w:ascii="Times New Roman" w:hAnsi="Times New Roman" w:eastAsia="仿宋_GB2312" w:cs="Times New Roman"/>
          <w:b w:val="0"/>
          <w:bCs w:val="0"/>
          <w:lang w:val="en-US" w:eastAsia="zh-CN"/>
        </w:rPr>
        <w:t>40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%。项目效益类指标权重为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2"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2" w:firstLineChars="200"/>
        <w:outlineLvl w:val="0"/>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ascii="Times New Roman" w:hAnsi="Times New Roman"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4"/>
        </w:numPr>
        <w:spacing w:before="0" w:after="0" w:line="560" w:lineRule="exact"/>
        <w:ind w:firstLine="642"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w:t>
      </w:r>
      <w:r>
        <w:rPr>
          <w:rFonts w:hint="eastAsia" w:ascii="Times New Roman" w:hAnsi="Times New Roman"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19.94</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99.7</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ascii="Times New Roman" w:hAnsi="Times New Roman" w:eastAsia="仿宋_GB2312" w:cs="Times New Roman"/>
          <w:sz w:val="32"/>
          <w:szCs w:val="32"/>
          <w:highlight w:val="none"/>
          <w:lang w:val="en-US" w:eastAsia="zh-CN"/>
        </w:rPr>
        <w:t>53.27</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ascii="Times New Roman" w:hAnsi="Times New Roman" w:eastAsia="仿宋_GB2312" w:cs="Times New Roman"/>
          <w:sz w:val="32"/>
          <w:szCs w:val="32"/>
          <w:highlight w:val="none"/>
          <w:lang w:val="en-US" w:eastAsia="zh-CN"/>
        </w:rPr>
        <w:t>52.97</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99.44</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项目产出类指标包括产出数量、产出质量、产出成本</w:t>
      </w:r>
      <w:r>
        <w:rPr>
          <w:rFonts w:hint="eastAsia"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lang w:val="en-US" w:eastAsia="zh-CN"/>
        </w:rPr>
        <w:t>方面的内容，由</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个三级指标构成，权重分为</w:t>
      </w:r>
      <w:r>
        <w:rPr>
          <w:rFonts w:hint="eastAsia" w:ascii="Times New Roman" w:hAnsi="Times New Roman" w:eastAsia="仿宋_GB2312" w:cs="Times New Roman"/>
          <w:sz w:val="32"/>
          <w:szCs w:val="32"/>
          <w:lang w:val="en-US" w:eastAsia="zh-CN"/>
        </w:rPr>
        <w:t>60</w:t>
      </w:r>
      <w:r>
        <w:rPr>
          <w:rFonts w:hint="default" w:ascii="Times New Roman" w:hAnsi="Times New Roman" w:eastAsia="仿宋_GB2312" w:cs="Times New Roman"/>
          <w:sz w:val="32"/>
          <w:szCs w:val="32"/>
          <w:lang w:val="en-US" w:eastAsia="zh-CN"/>
        </w:rPr>
        <w:t>分，实际得分</w:t>
      </w:r>
      <w:r>
        <w:rPr>
          <w:rFonts w:hint="eastAsia" w:eastAsia="仿宋_GB2312" w:cs="Times New Roman"/>
          <w:sz w:val="32"/>
          <w:szCs w:val="32"/>
          <w:lang w:val="en-US" w:eastAsia="zh-CN"/>
        </w:rPr>
        <w:t>57</w:t>
      </w:r>
      <w:r>
        <w:rPr>
          <w:rFonts w:hint="default" w:eastAsia="仿宋_GB2312" w:cs="Times New Roman"/>
          <w:sz w:val="32"/>
          <w:szCs w:val="32"/>
          <w:lang w:val="en" w:eastAsia="zh-CN"/>
        </w:rPr>
        <w:t>.09</w:t>
      </w:r>
      <w:r>
        <w:rPr>
          <w:rFonts w:hint="default" w:ascii="Times New Roman" w:hAnsi="Times New Roman" w:eastAsia="仿宋_GB2312" w:cs="Times New Roman"/>
          <w:sz w:val="32"/>
          <w:szCs w:val="32"/>
          <w:lang w:val="en-US" w:eastAsia="zh-CN"/>
        </w:rPr>
        <w:t>分，得分率为</w:t>
      </w:r>
      <w:r>
        <w:rPr>
          <w:rFonts w:hint="default" w:eastAsia="仿宋_GB2312" w:cs="Times New Roman"/>
          <w:sz w:val="32"/>
          <w:szCs w:val="32"/>
          <w:lang w:val="en" w:eastAsia="zh-CN"/>
        </w:rPr>
        <w:t>95.15</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参加活动天数</w:t>
      </w:r>
      <w:r>
        <w:rPr>
          <w:rFonts w:hint="default" w:ascii="Times New Roman" w:hAnsi="Times New Roman" w:eastAsia="仿宋_GB2312" w:cs="Times New Roman"/>
          <w:sz w:val="32"/>
          <w:szCs w:val="32"/>
          <w:highlight w:val="none"/>
        </w:rPr>
        <w:t>，指标值：</w:t>
      </w:r>
      <w:r>
        <w:rPr>
          <w:rFonts w:hint="default" w:ascii="Arial" w:hAnsi="Arial" w:eastAsia="仿宋_GB2312" w:cs="Arial"/>
          <w:sz w:val="32"/>
          <w:szCs w:val="32"/>
          <w:highlight w:val="none"/>
        </w:rPr>
        <w:t>≥</w:t>
      </w:r>
      <w:r>
        <w:rPr>
          <w:rFonts w:hint="eastAsia" w:eastAsia="仿宋_GB2312" w:cs="Times New Roman"/>
          <w:sz w:val="32"/>
          <w:szCs w:val="32"/>
          <w:highlight w:val="none"/>
          <w:lang w:val="en-US" w:eastAsia="zh-CN"/>
        </w:rPr>
        <w:t>4天</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5天</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125</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因展会实际时间安排及展会收尾工作需要，实际参加天数超出了计划天数</w:t>
      </w:r>
      <w:r>
        <w:rPr>
          <w:rFonts w:hint="eastAsia" w:eastAsia="仿宋_GB2312" w:cs="Times New Roman"/>
          <w:sz w:val="32"/>
          <w:szCs w:val="32"/>
          <w:highlight w:val="none"/>
          <w:lang w:val="en-US" w:eastAsia="zh-CN"/>
        </w:rPr>
        <w:t>1天。</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指标2：参加活动场次，指标值：</w:t>
      </w:r>
      <w:r>
        <w:rPr>
          <w:rFonts w:hint="default" w:ascii="Arial" w:hAnsi="Arial" w:eastAsia="仿宋_GB2312" w:cs="Arial"/>
          <w:sz w:val="32"/>
          <w:szCs w:val="32"/>
          <w:highlight w:val="none"/>
        </w:rPr>
        <w:t>≥</w:t>
      </w:r>
      <w:r>
        <w:rPr>
          <w:rFonts w:hint="eastAsia" w:ascii="Arial" w:hAnsi="Arial" w:eastAsia="仿宋_GB2312" w:cs="Arial"/>
          <w:sz w:val="32"/>
          <w:szCs w:val="32"/>
          <w:highlight w:val="none"/>
          <w:lang w:val="en-US" w:eastAsia="zh-CN"/>
        </w:rPr>
        <w:t>1次，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1次</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3：组织厅局、地州、园区及企业人数，指标值</w:t>
      </w:r>
      <w:r>
        <w:rPr>
          <w:rFonts w:hint="default" w:ascii="Arial" w:hAnsi="Arial" w:eastAsia="仿宋_GB2312" w:cs="Arial"/>
          <w:sz w:val="32"/>
          <w:szCs w:val="32"/>
          <w:highlight w:val="none"/>
          <w:lang w:val="en-US" w:eastAsia="zh-CN"/>
        </w:rPr>
        <w:t>≥</w:t>
      </w:r>
      <w:r>
        <w:rPr>
          <w:rFonts w:hint="eastAsia" w:eastAsia="仿宋_GB2312" w:cs="Times New Roman"/>
          <w:sz w:val="32"/>
          <w:szCs w:val="32"/>
          <w:highlight w:val="none"/>
          <w:lang w:val="en-US" w:eastAsia="zh-CN"/>
        </w:rPr>
        <w:t>90人，实际完成值：114人，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126.67</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,偏差原因：各地州市工信部门及园区参观人员积极性高，组织相关行业人员及企业参观人数比计划报名人数超出。</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4：代表团参展率，指标值=100%，实际完成值：100%，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5：第二十四届中国国际博览会招商推介活动，指标值</w:t>
      </w:r>
      <w:r>
        <w:rPr>
          <w:rFonts w:hint="default" w:ascii="Arial" w:hAnsi="Arial" w:eastAsia="仿宋_GB2312" w:cs="Arial"/>
          <w:sz w:val="32"/>
          <w:szCs w:val="32"/>
          <w:highlight w:val="none"/>
        </w:rPr>
        <w:t>≥</w:t>
      </w:r>
      <w:r>
        <w:rPr>
          <w:rFonts w:hint="eastAsia" w:ascii="Arial" w:hAnsi="Arial" w:eastAsia="仿宋_GB2312" w:cs="Arial"/>
          <w:sz w:val="32"/>
          <w:szCs w:val="32"/>
          <w:highlight w:val="none"/>
          <w:lang w:val="en-US" w:eastAsia="zh-CN"/>
        </w:rPr>
        <w:t>1次，实际完成值：1次，指标完成率：100%。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指标1：代表团参展率，指标值：100%，实际完成值：100%，指标完成率100%。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指标1：主办方展位费，指标值：</w:t>
      </w:r>
      <w:r>
        <w:rPr>
          <w:rFonts w:hint="default" w:ascii="Arial" w:hAnsi="Arial" w:eastAsia="仿宋_GB2312" w:cs="Arial"/>
          <w:sz w:val="32"/>
          <w:szCs w:val="32"/>
          <w:highlight w:val="none"/>
          <w:lang w:val="en-US" w:eastAsia="zh-CN"/>
        </w:rPr>
        <w:t>≦</w:t>
      </w:r>
      <w:r>
        <w:rPr>
          <w:rFonts w:hint="eastAsia" w:eastAsia="仿宋_GB2312" w:cs="Times New Roman"/>
          <w:sz w:val="32"/>
          <w:szCs w:val="32"/>
          <w:highlight w:val="none"/>
          <w:lang w:val="en-US" w:eastAsia="zh-CN"/>
        </w:rPr>
        <w:t>22.5万元，实际完成值：22.2万元，指标完成率：98.68%。偏差原因：实际认购展位面积比计划购买面积减少50平米，主办方针对政府部门组团参展展位费从1800元/平米优惠到1100元/平米等因素。</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指标2：新疆展区设计、搭建及保障服务费，指标值：</w:t>
      </w:r>
      <w:r>
        <w:rPr>
          <w:rFonts w:hint="default" w:ascii="Arial" w:hAnsi="Arial" w:eastAsia="仿宋_GB2312" w:cs="Arial"/>
          <w:sz w:val="32"/>
          <w:szCs w:val="32"/>
          <w:highlight w:val="none"/>
          <w:lang w:val="en-US" w:eastAsia="zh-CN"/>
        </w:rPr>
        <w:t>≦</w:t>
      </w:r>
      <w:r>
        <w:rPr>
          <w:rFonts w:hint="eastAsia" w:eastAsia="仿宋_GB2312" w:cs="Times New Roman"/>
          <w:sz w:val="32"/>
          <w:szCs w:val="32"/>
          <w:highlight w:val="none"/>
          <w:lang w:val="en-US" w:eastAsia="zh-CN"/>
        </w:rPr>
        <w:t xml:space="preserve">18.75万元，实际完成值：18.75万元，指标完成率：100%。  </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指标3：重点产业招商推介活动费，指标值：</w:t>
      </w:r>
      <w:r>
        <w:rPr>
          <w:rFonts w:hint="default" w:ascii="Arial" w:hAnsi="Arial" w:eastAsia="仿宋_GB2312" w:cs="Arial"/>
          <w:sz w:val="32"/>
          <w:szCs w:val="32"/>
          <w:highlight w:val="none"/>
          <w:lang w:val="en-US" w:eastAsia="zh-CN"/>
        </w:rPr>
        <w:t>≦</w:t>
      </w:r>
      <w:r>
        <w:rPr>
          <w:rFonts w:hint="eastAsia" w:eastAsia="仿宋_GB2312" w:cs="Times New Roman"/>
          <w:sz w:val="32"/>
          <w:szCs w:val="32"/>
          <w:highlight w:val="none"/>
          <w:lang w:val="en-US" w:eastAsia="zh-CN"/>
        </w:rPr>
        <w:t>12.02万元，实际完成值：12.02万元，指标完成率：100%。</w:t>
      </w:r>
    </w:p>
    <w:p>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30</w:t>
      </w:r>
      <w:r>
        <w:rPr>
          <w:rFonts w:hint="default"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30</w:t>
      </w:r>
      <w:r>
        <w:rPr>
          <w:rFonts w:hint="default"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%。具体效益指标及满意度指标完成情况如下：</w:t>
      </w:r>
    </w:p>
    <w:p>
      <w:pPr>
        <w:numPr>
          <w:ilvl w:val="0"/>
          <w:numId w:val="5"/>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r>
        <w:rPr>
          <w:rFonts w:hint="eastAsia" w:eastAsia="仿宋_GB2312" w:cs="Times New Roman"/>
          <w:sz w:val="32"/>
          <w:szCs w:val="32"/>
          <w:highlight w:val="none"/>
          <w:lang w:eastAsia="zh-CN"/>
        </w:rPr>
        <w:t>带动企业经济发展，指标值：提高，实际完成值：有效提高，指标完成率：</w:t>
      </w:r>
      <w:r>
        <w:rPr>
          <w:rFonts w:hint="eastAsia" w:eastAsia="仿宋_GB2312" w:cs="Times New Roman"/>
          <w:sz w:val="32"/>
          <w:szCs w:val="32"/>
          <w:highlight w:val="none"/>
          <w:lang w:val="en-US" w:eastAsia="zh-CN"/>
        </w:rPr>
        <w:t>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r>
        <w:rPr>
          <w:rFonts w:hint="eastAsia" w:eastAsia="仿宋_GB2312" w:cs="Times New Roman"/>
          <w:sz w:val="32"/>
          <w:szCs w:val="32"/>
          <w:highlight w:val="none"/>
          <w:lang w:eastAsia="zh-CN"/>
        </w:rPr>
        <w:t>指导产业集聚和产业链发展，指标值：提高，实际完成值：有效提高，指标完成率：</w:t>
      </w:r>
      <w:r>
        <w:rPr>
          <w:rFonts w:hint="eastAsia" w:eastAsia="仿宋_GB2312" w:cs="Times New Roman"/>
          <w:sz w:val="32"/>
          <w:szCs w:val="32"/>
          <w:highlight w:val="none"/>
          <w:lang w:val="en-US" w:eastAsia="zh-CN"/>
        </w:rPr>
        <w:t>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满意度指标：企业满意度，指标值：</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90%,实际完成值：90%，指标完成率：100%。</w:t>
      </w:r>
    </w:p>
    <w:p>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pPr>
        <w:pStyle w:val="19"/>
        <w:spacing w:line="560" w:lineRule="exact"/>
        <w:ind w:firstLine="640"/>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组团参加第二十四届中国国际工业博览会</w:t>
      </w:r>
      <w:r>
        <w:rPr>
          <w:rFonts w:hint="default" w:ascii="Times New Roman" w:hAnsi="Times New Roman" w:eastAsia="仿宋_GB2312" w:cs="Times New Roman"/>
          <w:kern w:val="2"/>
          <w:sz w:val="32"/>
          <w:szCs w:val="32"/>
          <w:highlight w:val="none"/>
          <w:lang w:val="en-US" w:eastAsia="zh-CN" w:bidi="ar-SA"/>
        </w:rPr>
        <w:t>项</w:t>
      </w:r>
      <w:r>
        <w:rPr>
          <w:rFonts w:hint="eastAsia" w:ascii="Times New Roman" w:hAnsi="Times New Roman" w:eastAsia="仿宋_GB2312" w:cs="Times New Roman"/>
          <w:kern w:val="2"/>
          <w:sz w:val="32"/>
          <w:szCs w:val="32"/>
          <w:highlight w:val="none"/>
          <w:lang w:val="en-US" w:eastAsia="zh-CN" w:bidi="ar-SA"/>
        </w:rPr>
        <w:t>目年中追加预算53.27万元，实际支出52.97万元，预算执行率为99.44%，项目绩效指标总体完成率为99.44%，</w:t>
      </w:r>
      <w:r>
        <w:rPr>
          <w:rFonts w:hint="eastAsia" w:ascii="Times New Roman" w:hAnsi="Times New Roman" w:eastAsia="仿宋_GB2312" w:cs="Times New Roman"/>
          <w:kern w:val="2"/>
          <w:sz w:val="32"/>
          <w:szCs w:val="32"/>
          <w:highlight w:val="none"/>
          <w:lang w:val="en-US" w:eastAsia="zh-Hans" w:bidi="ar-SA"/>
        </w:rPr>
        <w:t>总体</w:t>
      </w:r>
      <w:r>
        <w:rPr>
          <w:rFonts w:hint="eastAsia" w:ascii="Times New Roman" w:hAnsi="Times New Roman" w:eastAsia="仿宋_GB2312" w:cs="Times New Roman"/>
          <w:kern w:val="2"/>
          <w:sz w:val="32"/>
          <w:szCs w:val="32"/>
          <w:highlight w:val="none"/>
          <w:lang w:val="en-US" w:eastAsia="zh-CN" w:bidi="ar-SA"/>
        </w:rPr>
        <w:t>偏差率为0.56%，</w:t>
      </w:r>
      <w:r>
        <w:rPr>
          <w:rFonts w:hint="eastAsia" w:ascii="Times New Roman" w:hAnsi="Times New Roman" w:eastAsia="仿宋_GB2312" w:cs="Times New Roman"/>
          <w:kern w:val="2"/>
          <w:sz w:val="32"/>
          <w:szCs w:val="32"/>
          <w:highlight w:val="none"/>
          <w:lang w:val="en-US" w:eastAsia="zh-Hans" w:bidi="ar-SA"/>
        </w:rPr>
        <w:t>偏差</w:t>
      </w:r>
      <w:r>
        <w:rPr>
          <w:rFonts w:hint="eastAsia" w:ascii="Times New Roman" w:hAnsi="Times New Roman" w:eastAsia="仿宋_GB2312" w:cs="Times New Roman"/>
          <w:kern w:val="2"/>
          <w:sz w:val="32"/>
          <w:szCs w:val="32"/>
          <w:highlight w:val="none"/>
          <w:lang w:val="en-US" w:eastAsia="zh-CN" w:bidi="ar-SA"/>
        </w:rPr>
        <w:t>原因：我方预购新疆展区面积比展会主办方预留面积小，支出少于预算。</w:t>
      </w:r>
      <w:r>
        <w:rPr>
          <w:rFonts w:hint="eastAsia" w:ascii="Times New Roman" w:hAnsi="Times New Roman" w:eastAsia="仿宋_GB2312" w:cs="Times New Roman"/>
          <w:kern w:val="2"/>
          <w:sz w:val="32"/>
          <w:szCs w:val="32"/>
          <w:highlight w:val="none"/>
          <w:lang w:val="en-US" w:eastAsia="zh-Hans" w:bidi="ar-SA"/>
        </w:rPr>
        <w:t>改进</w:t>
      </w:r>
      <w:r>
        <w:rPr>
          <w:rFonts w:hint="eastAsia" w:ascii="Times New Roman" w:hAnsi="Times New Roman" w:eastAsia="仿宋_GB2312" w:cs="Times New Roman"/>
          <w:kern w:val="2"/>
          <w:sz w:val="32"/>
          <w:szCs w:val="32"/>
          <w:highlight w:val="none"/>
          <w:lang w:val="en-US" w:eastAsia="zh-CN" w:bidi="ar-SA"/>
        </w:rPr>
        <w:t>措施：及时沟通主办方，在科学、精准做</w:t>
      </w:r>
      <w:r>
        <w:rPr>
          <w:rFonts w:hint="default" w:ascii="Times New Roman" w:hAnsi="Times New Roman" w:eastAsia="仿宋_GB2312" w:cs="Times New Roman"/>
          <w:kern w:val="2"/>
          <w:sz w:val="32"/>
          <w:szCs w:val="32"/>
          <w:highlight w:val="none"/>
          <w:lang w:val="en-US" w:eastAsia="zh-CN" w:bidi="ar-SA"/>
        </w:rPr>
        <w:t>全面的成本估算，确保项目所需的各项资源得到合理的预估与分配</w:t>
      </w:r>
      <w:r>
        <w:rPr>
          <w:rFonts w:hint="eastAsia" w:ascii="Times New Roman" w:hAnsi="Times New Roman" w:eastAsia="仿宋_GB2312" w:cs="Times New Roman"/>
          <w:kern w:val="2"/>
          <w:sz w:val="32"/>
          <w:szCs w:val="32"/>
          <w:highlight w:val="none"/>
          <w:lang w:val="en-US" w:eastAsia="zh-CN" w:bidi="ar-SA"/>
        </w:rPr>
        <w:t>。</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6"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w:t>
      </w:r>
    </w:p>
    <w:p>
      <w:pPr>
        <w:keepNext/>
        <w:keepLines/>
        <w:numPr>
          <w:ilvl w:val="0"/>
          <w:numId w:val="6"/>
        </w:num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w:t>
      </w:r>
      <w:r>
        <w:rPr>
          <w:rFonts w:hint="default" w:ascii="Times New Roman" w:hAnsi="Times New Roman" w:eastAsia="仿宋_GB2312" w:cs="Times New Roman"/>
          <w:color w:val="auto"/>
          <w:sz w:val="32"/>
          <w:szCs w:val="32"/>
          <w:highlight w:val="none"/>
          <w:lang w:val="en-US" w:eastAsia="zh-CN"/>
        </w:rPr>
        <w:t>，严格按照项目实施方案、招投标管理办法等稳步推进工作，各部门单位根据自己项目的特点进行总结。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lang w:val="en-US" w:eastAsia="zh-CN"/>
        </w:rPr>
        <w:t>组团参加第二十四届中国国际工业博览会</w:t>
      </w:r>
      <w:r>
        <w:rPr>
          <w:rFonts w:hint="eastAsia" w:ascii="仿宋_GB2312" w:hAnsi="仿宋_GB2312" w:eastAsia="仿宋_GB2312" w:cs="仿宋_GB2312"/>
          <w:b/>
          <w:bCs/>
          <w:sz w:val="28"/>
          <w:szCs w:val="40"/>
        </w:rPr>
        <w:t>项目绩效评价指标体系及综合评分表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9"/>
        <w:gridCol w:w="589"/>
        <w:gridCol w:w="590"/>
        <w:gridCol w:w="1326"/>
        <w:gridCol w:w="941"/>
        <w:gridCol w:w="941"/>
        <w:gridCol w:w="944"/>
        <w:gridCol w:w="941"/>
        <w:gridCol w:w="941"/>
        <w:gridCol w:w="941"/>
        <w:gridCol w:w="941"/>
        <w:gridCol w:w="1131"/>
        <w:gridCol w:w="1006"/>
        <w:gridCol w:w="2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bookmarkStart w:id="3" w:name="_GoBack"/>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组团参加第二十四届中国国际工业博览会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新疆维吾尔自治区工业和信息化厅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53.27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53.27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52.97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9.94</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99.44%</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53.27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53.27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52.97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组团参加第二十四届中国国际工业博览会，可展示新疆工业领域尤其是装备制造也所取的成就和创新产品，大力宣传新疆自贸试验区建设，同时围绕“九大产业集群”开展招商推介活动，进一步促进我区装备制造业延链、补链、强链，有力带动我区工业投资和工业经济高质量发展。</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自治区代表团由袁玉荣副秘书长任团长，自治区工信厅党组成员、副厅长高华斌任副团长，自治区人民政府办公厅、工信厅、发改委、科技厅、商务厅、贸促会和各地（州、市）有关部门及企业的114名代表组成。我区参展的15家装备制造企业涵盖能源、石油、农机、节能环保、纺织机械等多个领域，共计100余件实物和模型进行了分类展示。9月25日上午，开展新疆重点产业招商推介活动，伊犁州、昌吉州、巴州等3个地州，乌鲁木齐经济技术开发区、喀什经济开发区、哈密高新区、克拉玛依高新技术产业园区等4个园区，金风科技股份有限公司1家重点企业，围绕“九大产业集群”，向参会企业推介我区的发展优势、投资环境和产业支持政策，提升了新疆的知名度和吸引力，为我区工业发展注入了新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参加活动天数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&gt;=4天</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=5天</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125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3.75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根据工博会活动实际天数及活动后期收尾工作的需要超出预期天数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参加活动场次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组织厅局、地州、园区人员及企业人数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=114人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126.67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3.67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根据相关工作安排，各地州、企业积极响应，实际报名人数多余预期人数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代表团人员参展率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第二十四届中国国际工业博览会招商推介活动</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代表团参展率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主办方展位费</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&lt;=22.50万元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=22.2万元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98.68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9.67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实际认购展位面积比计划购买面积减少50平米，展位费针对政府部门组团参展从1800元/平米优惠到1100元/平米等因素。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新疆展区设计、搭建及保障服务费</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&lt;=18.75万元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=18.75万元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是实际认购展位面积比计划购买面积减少50平米，二是根据自治区人民政府领导批示参展经费要充分调动企业的积极性用市场化手段筹措一部分”精神，其中新疆展区搭建费用由参展企业承当，展区设计及保障服务费由预算资金来统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重点产业招商推介活动费</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&lt;=12.02万元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=12.02万元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在活动细节和实际活动开展中坚持高效、务实、节俭的原则，统筹安排、突出重点、厉行节约、量财办事。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带动企业经济发展</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提高</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提高</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指导产业集聚和产业链发展</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提高</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提高</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企业满意度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97.03分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bookmarkEnd w:id="3"/>
    </w:tbl>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正黑">
    <w:panose1 w:val="02000603000000000000"/>
    <w:charset w:val="86"/>
    <w:family w:val="auto"/>
    <w:pitch w:val="default"/>
    <w:sig w:usb0="900002BF" w:usb1="2BDF7DFB" w:usb2="00000036" w:usb3="00000000" w:csb0="603E000D" w:csb1="D2D70000"/>
  </w:font>
  <w:font w:name="方正宋体S-超大字符集">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CF6753"/>
    <w:multiLevelType w:val="singleLevel"/>
    <w:tmpl w:val="BCCF6753"/>
    <w:lvl w:ilvl="0" w:tentative="0">
      <w:start w:val="1"/>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E3C619F"/>
    <w:rsid w:val="11170296"/>
    <w:rsid w:val="13471461"/>
    <w:rsid w:val="13B90F01"/>
    <w:rsid w:val="155E4C4D"/>
    <w:rsid w:val="17462648"/>
    <w:rsid w:val="17F6C45A"/>
    <w:rsid w:val="181066D2"/>
    <w:rsid w:val="1C671E73"/>
    <w:rsid w:val="1D1125A5"/>
    <w:rsid w:val="1D322C47"/>
    <w:rsid w:val="23616034"/>
    <w:rsid w:val="23D4607E"/>
    <w:rsid w:val="24480FA2"/>
    <w:rsid w:val="25227A45"/>
    <w:rsid w:val="26AC3A6A"/>
    <w:rsid w:val="28026BE7"/>
    <w:rsid w:val="281178FD"/>
    <w:rsid w:val="2B9D7E25"/>
    <w:rsid w:val="2C7C7A3B"/>
    <w:rsid w:val="2EFC0D68"/>
    <w:rsid w:val="2F364819"/>
    <w:rsid w:val="2FD63906"/>
    <w:rsid w:val="37215DAE"/>
    <w:rsid w:val="38CA40DD"/>
    <w:rsid w:val="395F2B56"/>
    <w:rsid w:val="3BBA0580"/>
    <w:rsid w:val="3BECE841"/>
    <w:rsid w:val="3CDE204C"/>
    <w:rsid w:val="3D363C36"/>
    <w:rsid w:val="3DB5B271"/>
    <w:rsid w:val="3E9C3F6D"/>
    <w:rsid w:val="3FF7797D"/>
    <w:rsid w:val="46690BD8"/>
    <w:rsid w:val="49F70BF1"/>
    <w:rsid w:val="4B4340EE"/>
    <w:rsid w:val="4BF06537"/>
    <w:rsid w:val="503D507A"/>
    <w:rsid w:val="51FA74D0"/>
    <w:rsid w:val="52AA4A52"/>
    <w:rsid w:val="59943D66"/>
    <w:rsid w:val="59E051FD"/>
    <w:rsid w:val="59E6355E"/>
    <w:rsid w:val="5B821531"/>
    <w:rsid w:val="5BFF6039"/>
    <w:rsid w:val="5D76A616"/>
    <w:rsid w:val="5D7F20B9"/>
    <w:rsid w:val="5DAC7D0E"/>
    <w:rsid w:val="5F6F46B9"/>
    <w:rsid w:val="5F98B5AF"/>
    <w:rsid w:val="5FFE8511"/>
    <w:rsid w:val="5FFEACE2"/>
    <w:rsid w:val="609D5BF6"/>
    <w:rsid w:val="61073070"/>
    <w:rsid w:val="61B9080E"/>
    <w:rsid w:val="61DF3FED"/>
    <w:rsid w:val="642B176B"/>
    <w:rsid w:val="643EE26D"/>
    <w:rsid w:val="656019A0"/>
    <w:rsid w:val="65F242EE"/>
    <w:rsid w:val="666D7E19"/>
    <w:rsid w:val="68376930"/>
    <w:rsid w:val="68F91E38"/>
    <w:rsid w:val="69767E03"/>
    <w:rsid w:val="6B3158B9"/>
    <w:rsid w:val="6BA02A3F"/>
    <w:rsid w:val="6C1E5A53"/>
    <w:rsid w:val="6DD20F3C"/>
    <w:rsid w:val="6F5C41AC"/>
    <w:rsid w:val="6FAF6C78"/>
    <w:rsid w:val="716167CC"/>
    <w:rsid w:val="718A7AD1"/>
    <w:rsid w:val="72A44BC2"/>
    <w:rsid w:val="7317C656"/>
    <w:rsid w:val="734ED73F"/>
    <w:rsid w:val="73C82B32"/>
    <w:rsid w:val="73F94DAE"/>
    <w:rsid w:val="74220495"/>
    <w:rsid w:val="747D1B6F"/>
    <w:rsid w:val="749E5641"/>
    <w:rsid w:val="76271066"/>
    <w:rsid w:val="7662E0D8"/>
    <w:rsid w:val="776FF713"/>
    <w:rsid w:val="77FD8BE9"/>
    <w:rsid w:val="78000AED"/>
    <w:rsid w:val="79A9BD3F"/>
    <w:rsid w:val="7B776F12"/>
    <w:rsid w:val="7B7F89A9"/>
    <w:rsid w:val="7BD7D9D5"/>
    <w:rsid w:val="7BFFFDD0"/>
    <w:rsid w:val="7C336E5F"/>
    <w:rsid w:val="7C8D4919"/>
    <w:rsid w:val="7D7A5F86"/>
    <w:rsid w:val="7DBE15EA"/>
    <w:rsid w:val="7E4B683A"/>
    <w:rsid w:val="7E5E656D"/>
    <w:rsid w:val="7E8F2BCB"/>
    <w:rsid w:val="7EFB42E1"/>
    <w:rsid w:val="7F37BB4E"/>
    <w:rsid w:val="7F67CDF1"/>
    <w:rsid w:val="7FEF918E"/>
    <w:rsid w:val="7FF4FB6F"/>
    <w:rsid w:val="7FF54828"/>
    <w:rsid w:val="7FF7FF27"/>
    <w:rsid w:val="7FFDF714"/>
    <w:rsid w:val="AF3FCD8C"/>
    <w:rsid w:val="B9FA2A43"/>
    <w:rsid w:val="BDFB7F59"/>
    <w:rsid w:val="BF7BA1E4"/>
    <w:rsid w:val="BFDF04FA"/>
    <w:rsid w:val="BFDF606A"/>
    <w:rsid w:val="BFE227EF"/>
    <w:rsid w:val="CF2A1ABD"/>
    <w:rsid w:val="D1AF4871"/>
    <w:rsid w:val="DA7D3CD9"/>
    <w:rsid w:val="DABFCB0A"/>
    <w:rsid w:val="DBDC0ADA"/>
    <w:rsid w:val="DEA61C34"/>
    <w:rsid w:val="DEDE2B06"/>
    <w:rsid w:val="E7773746"/>
    <w:rsid w:val="EBFA31C2"/>
    <w:rsid w:val="EC9F4D4F"/>
    <w:rsid w:val="F3F4A11B"/>
    <w:rsid w:val="F9FD7907"/>
    <w:rsid w:val="FAEF933D"/>
    <w:rsid w:val="FB3A4A6A"/>
    <w:rsid w:val="FF6C4049"/>
    <w:rsid w:val="FF78F63F"/>
    <w:rsid w:val="FF8D2000"/>
    <w:rsid w:val="FFBE2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9398</Words>
  <Characters>9690</Characters>
  <Lines>58</Lines>
  <Paragraphs>16</Paragraphs>
  <TotalTime>20</TotalTime>
  <ScaleCrop>false</ScaleCrop>
  <LinksUpToDate>false</LinksUpToDate>
  <CharactersWithSpaces>9695</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2023-03-10T05:13:00Z</dcterms:created>
  <dc:creator>审核人</dc:creator>
  <cp:lastModifiedBy>user</cp:lastModifiedBy>
  <dcterms:modified xsi:type="dcterms:W3CDTF">2025-08-27T16:34:42Z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EC99773F21B349659AE205148812517A_13</vt:lpwstr>
  </property>
  <property fmtid="{D5CDD505-2E9C-101B-9397-08002B2CF9AE}" pid="4" name="KSOTemplateDocerSaveRecord">
    <vt:lpwstr>eyJoZGlkIjoiMzNiNGI2MGU3ZTBiNDlmYjExZDc5YzVmNjk5Y2MxNTQiLCJ1c2VySWQiOiIxMzUyMjgzNTc4In0=</vt:lpwstr>
  </property>
</Properties>
</file>