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326962">
      <w:pPr>
        <w:spacing w:line="540" w:lineRule="exact"/>
        <w:jc w:val="center"/>
        <w:rPr>
          <w:rFonts w:hint="default" w:ascii="Times New Roman" w:hAnsi="Times New Roman" w:eastAsia="华文中宋" w:cs="Times New Roman"/>
          <w:b/>
          <w:kern w:val="0"/>
          <w:sz w:val="52"/>
          <w:szCs w:val="52"/>
        </w:rPr>
      </w:pPr>
    </w:p>
    <w:p w14:paraId="492039C8">
      <w:pPr>
        <w:spacing w:line="540" w:lineRule="exact"/>
        <w:rPr>
          <w:rFonts w:hint="default" w:ascii="Times New Roman" w:hAnsi="Times New Roman" w:eastAsia="华文中宋" w:cs="Times New Roman"/>
          <w:b/>
          <w:kern w:val="0"/>
          <w:sz w:val="52"/>
          <w:szCs w:val="52"/>
        </w:rPr>
      </w:pPr>
    </w:p>
    <w:p w14:paraId="3687F70B">
      <w:pPr>
        <w:spacing w:line="540" w:lineRule="exact"/>
        <w:jc w:val="center"/>
        <w:rPr>
          <w:rFonts w:hint="default" w:ascii="Times New Roman" w:hAnsi="Times New Roman" w:eastAsia="华文中宋" w:cs="Times New Roman"/>
          <w:b/>
          <w:kern w:val="0"/>
          <w:sz w:val="52"/>
          <w:szCs w:val="52"/>
        </w:rPr>
      </w:pPr>
    </w:p>
    <w:p w14:paraId="76F71A5B">
      <w:pPr>
        <w:spacing w:line="540" w:lineRule="exact"/>
        <w:jc w:val="center"/>
        <w:rPr>
          <w:rFonts w:hint="default" w:ascii="Times New Roman" w:hAnsi="Times New Roman" w:eastAsia="华文中宋" w:cs="Times New Roman"/>
          <w:b/>
          <w:kern w:val="0"/>
          <w:sz w:val="52"/>
          <w:szCs w:val="52"/>
        </w:rPr>
      </w:pPr>
    </w:p>
    <w:p w14:paraId="21C32BFA">
      <w:pPr>
        <w:spacing w:line="540" w:lineRule="exact"/>
        <w:jc w:val="center"/>
        <w:rPr>
          <w:rFonts w:hint="default" w:ascii="Times New Roman" w:hAnsi="Times New Roman" w:eastAsia="方正小标宋_GBK" w:cs="Times New Roman"/>
          <w:kern w:val="0"/>
          <w:sz w:val="48"/>
          <w:szCs w:val="48"/>
        </w:rPr>
      </w:pPr>
      <w:r>
        <w:rPr>
          <w:rFonts w:hint="eastAsia" w:eastAsia="方正小标宋_GBK" w:cs="Times New Roman"/>
          <w:kern w:val="0"/>
          <w:sz w:val="48"/>
          <w:szCs w:val="48"/>
          <w:lang w:val="en-US" w:eastAsia="zh-CN"/>
        </w:rPr>
        <w:t>2024亚欧时装周活动</w:t>
      </w:r>
      <w:r>
        <w:rPr>
          <w:rFonts w:hint="default" w:ascii="Times New Roman" w:hAnsi="Times New Roman" w:eastAsia="方正小标宋_GBK" w:cs="Times New Roman"/>
          <w:kern w:val="0"/>
          <w:sz w:val="48"/>
          <w:szCs w:val="48"/>
        </w:rPr>
        <w:t>项目支出</w:t>
      </w:r>
    </w:p>
    <w:p w14:paraId="7A9B9460">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绩效评价报告</w:t>
      </w:r>
    </w:p>
    <w:p w14:paraId="6C2728E2">
      <w:pPr>
        <w:spacing w:line="540" w:lineRule="exact"/>
        <w:jc w:val="center"/>
        <w:rPr>
          <w:rFonts w:hint="default" w:ascii="Times New Roman" w:hAnsi="Times New Roman" w:eastAsia="华文中宋" w:cs="Times New Roman"/>
          <w:b/>
          <w:kern w:val="0"/>
          <w:sz w:val="52"/>
          <w:szCs w:val="52"/>
        </w:rPr>
      </w:pPr>
    </w:p>
    <w:p w14:paraId="68D2973D">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79978CF1">
      <w:pPr>
        <w:spacing w:line="540" w:lineRule="exact"/>
        <w:jc w:val="center"/>
        <w:rPr>
          <w:rFonts w:hint="default" w:ascii="Times New Roman" w:hAnsi="Times New Roman" w:eastAsia="仿宋_GB2312" w:cs="Times New Roman"/>
          <w:kern w:val="0"/>
          <w:sz w:val="30"/>
          <w:szCs w:val="30"/>
        </w:rPr>
      </w:pPr>
    </w:p>
    <w:p w14:paraId="36628A65">
      <w:pPr>
        <w:spacing w:line="540" w:lineRule="exact"/>
        <w:jc w:val="center"/>
        <w:rPr>
          <w:rFonts w:hint="default" w:ascii="Times New Roman" w:hAnsi="Times New Roman" w:eastAsia="仿宋_GB2312" w:cs="Times New Roman"/>
          <w:kern w:val="0"/>
          <w:sz w:val="30"/>
          <w:szCs w:val="30"/>
        </w:rPr>
      </w:pPr>
    </w:p>
    <w:p w14:paraId="74ED8F31">
      <w:pPr>
        <w:spacing w:line="540" w:lineRule="exact"/>
        <w:jc w:val="center"/>
        <w:rPr>
          <w:rFonts w:hint="default" w:ascii="Times New Roman" w:hAnsi="Times New Roman" w:eastAsia="仿宋_GB2312" w:cs="Times New Roman"/>
          <w:kern w:val="0"/>
          <w:sz w:val="30"/>
          <w:szCs w:val="30"/>
        </w:rPr>
      </w:pPr>
    </w:p>
    <w:p w14:paraId="51068EA2">
      <w:pPr>
        <w:pStyle w:val="10"/>
        <w:rPr>
          <w:rFonts w:hint="default" w:ascii="Times New Roman" w:hAnsi="Times New Roman" w:cs="Times New Roman"/>
        </w:rPr>
      </w:pPr>
    </w:p>
    <w:p w14:paraId="0248345A">
      <w:pPr>
        <w:spacing w:line="540" w:lineRule="exact"/>
        <w:jc w:val="center"/>
        <w:rPr>
          <w:rFonts w:hint="default" w:ascii="Times New Roman" w:hAnsi="Times New Roman" w:eastAsia="仿宋_GB2312" w:cs="Times New Roman"/>
          <w:kern w:val="0"/>
          <w:sz w:val="30"/>
          <w:szCs w:val="30"/>
        </w:rPr>
      </w:pPr>
    </w:p>
    <w:p w14:paraId="74BBD39D">
      <w:pPr>
        <w:spacing w:line="540" w:lineRule="exact"/>
        <w:rPr>
          <w:rFonts w:hint="default" w:ascii="Times New Roman" w:hAnsi="Times New Roman" w:eastAsia="仿宋_GB2312" w:cs="Times New Roman"/>
          <w:kern w:val="0"/>
          <w:sz w:val="30"/>
          <w:szCs w:val="30"/>
        </w:rPr>
      </w:pPr>
    </w:p>
    <w:p w14:paraId="4CD81C44">
      <w:pPr>
        <w:spacing w:line="700" w:lineRule="exact"/>
        <w:ind w:firstLine="720" w:firstLineChars="2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项目名称：</w:t>
      </w:r>
      <w:r>
        <w:rPr>
          <w:rFonts w:hint="eastAsia" w:eastAsia="仿宋_GB2312" w:cs="Times New Roman"/>
          <w:kern w:val="0"/>
          <w:sz w:val="36"/>
          <w:szCs w:val="36"/>
          <w:lang w:val="en-US" w:eastAsia="zh-CN"/>
        </w:rPr>
        <w:t>2024亚欧时装周活动</w:t>
      </w:r>
    </w:p>
    <w:p w14:paraId="368AC2B1">
      <w:pPr>
        <w:spacing w:line="700" w:lineRule="exact"/>
        <w:ind w:firstLine="720" w:firstLineChars="200"/>
        <w:jc w:val="left"/>
        <w:rPr>
          <w:rFonts w:hint="eastAsia" w:eastAsia="仿宋_GB2312" w:cs="Times New Roman"/>
          <w:kern w:val="0"/>
          <w:sz w:val="36"/>
          <w:szCs w:val="36"/>
          <w:lang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eastAsia="zh-CN"/>
        </w:rPr>
        <w:t>自治区工业和信息化厅</w:t>
      </w:r>
    </w:p>
    <w:p w14:paraId="563CAFF0">
      <w:pPr>
        <w:spacing w:line="700" w:lineRule="exact"/>
        <w:ind w:firstLine="720" w:firstLineChars="200"/>
        <w:jc w:val="left"/>
        <w:rPr>
          <w:rFonts w:hint="eastAsia"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刘新星</w:t>
      </w:r>
    </w:p>
    <w:p w14:paraId="027014E1">
      <w:pPr>
        <w:spacing w:line="700" w:lineRule="exact"/>
        <w:ind w:firstLine="720" w:firstLineChars="2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15</w:t>
      </w:r>
      <w:r>
        <w:rPr>
          <w:rFonts w:hint="default" w:ascii="Times New Roman" w:hAnsi="Times New Roman" w:eastAsia="仿宋_GB2312" w:cs="Times New Roman"/>
          <w:kern w:val="0"/>
          <w:sz w:val="36"/>
          <w:szCs w:val="36"/>
        </w:rPr>
        <w:t>日</w:t>
      </w:r>
    </w:p>
    <w:p w14:paraId="475395FC">
      <w:pPr>
        <w:spacing w:line="700" w:lineRule="exact"/>
        <w:ind w:firstLine="720" w:firstLineChars="200"/>
        <w:jc w:val="left"/>
        <w:rPr>
          <w:rFonts w:hint="default" w:ascii="Times New Roman" w:hAnsi="Times New Roman" w:eastAsia="仿宋_GB2312" w:cs="Times New Roman"/>
          <w:kern w:val="0"/>
          <w:sz w:val="36"/>
          <w:szCs w:val="36"/>
        </w:rPr>
      </w:pPr>
    </w:p>
    <w:p w14:paraId="7EC844FE">
      <w:pPr>
        <w:spacing w:line="540" w:lineRule="exact"/>
        <w:jc w:val="center"/>
        <w:rPr>
          <w:rFonts w:hint="default" w:ascii="Times New Roman" w:hAnsi="Times New Roman" w:eastAsia="仿宋_GB2312" w:cs="Times New Roman"/>
          <w:kern w:val="0"/>
          <w:sz w:val="30"/>
          <w:szCs w:val="30"/>
        </w:rPr>
      </w:pPr>
    </w:p>
    <w:p w14:paraId="4FBFAB7C">
      <w:pPr>
        <w:spacing w:line="540" w:lineRule="exact"/>
        <w:rPr>
          <w:rStyle w:val="16"/>
          <w:rFonts w:hint="default" w:ascii="Times New Roman" w:hAnsi="Times New Roman" w:eastAsia="黑体" w:cs="Times New Roman"/>
          <w:b w:val="0"/>
          <w:spacing w:val="-4"/>
          <w:sz w:val="32"/>
          <w:szCs w:val="32"/>
        </w:rPr>
      </w:pPr>
    </w:p>
    <w:p w14:paraId="4ED5111D">
      <w:pPr>
        <w:spacing w:line="540" w:lineRule="exact"/>
        <w:ind w:firstLine="640"/>
        <w:rPr>
          <w:rStyle w:val="16"/>
          <w:rFonts w:hint="default" w:ascii="Times New Roman" w:hAnsi="Times New Roman" w:eastAsia="黑体" w:cs="Times New Roman"/>
          <w:b w:val="0"/>
          <w:spacing w:val="-4"/>
          <w:sz w:val="32"/>
          <w:szCs w:val="32"/>
        </w:rPr>
      </w:pPr>
    </w:p>
    <w:p w14:paraId="62E377BE">
      <w:pPr>
        <w:spacing w:line="540" w:lineRule="exact"/>
        <w:rPr>
          <w:rStyle w:val="16"/>
          <w:rFonts w:hint="default" w:ascii="Times New Roman" w:hAnsi="Times New Roman" w:eastAsia="黑体" w:cs="Times New Roman"/>
          <w:b w:val="0"/>
          <w:spacing w:val="-4"/>
          <w:sz w:val="32"/>
          <w:szCs w:val="32"/>
        </w:rPr>
      </w:pPr>
    </w:p>
    <w:p w14:paraId="3668111C">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21B25B52">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0FF3A4E9">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3E01181C">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2F633B5C">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为贯彻落实李强总理关于支持新疆纺织服装产业发展的指示精神，根据</w:t>
      </w:r>
      <w:r>
        <w:rPr>
          <w:rFonts w:hint="eastAsia" w:eastAsia="仿宋_GB2312" w:cs="Times New Roman"/>
          <w:sz w:val="32"/>
          <w:szCs w:val="32"/>
          <w:highlight w:val="none"/>
          <w:lang w:val="en-US" w:eastAsia="zh-CN"/>
        </w:rPr>
        <w:t>《关于印发&lt;自治区棉花及纺织服装产业发展2024年度工作要点&gt;的通知》</w:t>
      </w:r>
      <w:r>
        <w:rPr>
          <w:rFonts w:hint="default" w:ascii="Times New Roman" w:hAnsi="Times New Roman" w:eastAsia="仿宋_GB2312" w:cs="Times New Roman"/>
          <w:sz w:val="32"/>
          <w:szCs w:val="32"/>
          <w:highlight w:val="none"/>
          <w:lang w:val="en-US" w:eastAsia="zh-CN"/>
        </w:rPr>
        <w:t>，2024年6月2</w:t>
      </w:r>
      <w:r>
        <w:rPr>
          <w:rFonts w:hint="eastAsia" w:ascii="Times New Roman" w:hAnsi="Times New Roman" w:eastAsia="仿宋_GB2312" w:cs="Times New Roman"/>
          <w:sz w:val="32"/>
          <w:szCs w:val="32"/>
          <w:highlight w:val="none"/>
          <w:lang w:val="en-US" w:eastAsia="zh-CN"/>
        </w:rPr>
        <w:t>8</w:t>
      </w:r>
      <w:r>
        <w:rPr>
          <w:rFonts w:hint="default" w:ascii="Times New Roman" w:hAnsi="Times New Roman" w:eastAsia="仿宋_GB2312" w:cs="Times New Roman"/>
          <w:sz w:val="32"/>
          <w:szCs w:val="32"/>
          <w:highlight w:val="none"/>
          <w:lang w:val="en-US" w:eastAsia="zh-CN"/>
        </w:rPr>
        <w:t>日</w:t>
      </w:r>
      <w:r>
        <w:rPr>
          <w:rFonts w:hint="eastAsia" w:eastAsia="仿宋_GB2312" w:cs="Times New Roman"/>
          <w:sz w:val="32"/>
          <w:szCs w:val="32"/>
          <w:highlight w:val="none"/>
          <w:lang w:val="en-US" w:eastAsia="zh-CN"/>
        </w:rPr>
        <w:t>至</w:t>
      </w:r>
      <w:r>
        <w:rPr>
          <w:rFonts w:hint="eastAsia" w:ascii="Times New Roman" w:hAnsi="Times New Roman" w:eastAsia="仿宋_GB2312" w:cs="Times New Roman"/>
          <w:sz w:val="32"/>
          <w:szCs w:val="32"/>
          <w:highlight w:val="none"/>
          <w:lang w:val="en-US" w:eastAsia="zh-CN"/>
        </w:rPr>
        <w:t>7月2</w:t>
      </w:r>
      <w:r>
        <w:rPr>
          <w:rFonts w:hint="default" w:ascii="Times New Roman" w:hAnsi="Times New Roman" w:eastAsia="仿宋_GB2312" w:cs="Times New Roman"/>
          <w:sz w:val="32"/>
          <w:szCs w:val="32"/>
          <w:highlight w:val="none"/>
          <w:lang w:val="en-US" w:eastAsia="zh-CN"/>
        </w:rPr>
        <w:t>日</w:t>
      </w:r>
      <w:r>
        <w:rPr>
          <w:rFonts w:hint="eastAsia" w:ascii="Times New Roman" w:hAnsi="Times New Roman" w:eastAsia="仿宋_GB2312" w:cs="Times New Roman"/>
          <w:sz w:val="32"/>
          <w:szCs w:val="32"/>
          <w:highlight w:val="none"/>
          <w:lang w:val="en-US" w:eastAsia="zh-CN"/>
        </w:rPr>
        <w:t>，自治区棉花产业发展领导小组办公室、工业和信息化厅及乌鲁木齐市人民政府共同主办2024亚欧时装周活动。</w:t>
      </w:r>
    </w:p>
    <w:p w14:paraId="4C1B3052">
      <w:pPr>
        <w:pStyle w:val="10"/>
        <w:numPr>
          <w:ilvl w:val="0"/>
          <w:numId w:val="0"/>
        </w:numPr>
        <w:spacing w:before="0" w:after="0" w:line="560" w:lineRule="exact"/>
        <w:ind w:firstLine="643" w:firstLineChars="200"/>
        <w:jc w:val="both"/>
        <w:rPr>
          <w:rFonts w:hint="eastAsia" w:eastAsia="仿宋_GB2312" w:cs="Times New Roman"/>
          <w:sz w:val="32"/>
          <w:szCs w:val="32"/>
          <w:lang w:eastAsia="zh-CN"/>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r>
        <w:rPr>
          <w:rFonts w:hint="eastAsia" w:ascii="Times New Roman" w:hAnsi="Times New Roman" w:eastAsia="仿宋_GB2312" w:cs="Times New Roman"/>
          <w:kern w:val="2"/>
          <w:lang w:val="en-US" w:eastAsia="zh-CN"/>
        </w:rPr>
        <w:t>及实施情况</w:t>
      </w:r>
    </w:p>
    <w:p w14:paraId="38C42D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highlight w:val="none"/>
          <w:lang w:val="en-US" w:eastAsia="zh-CN"/>
        </w:rPr>
      </w:pPr>
      <w:r>
        <w:rPr>
          <w:rFonts w:hint="eastAsia" w:eastAsia="仿宋_GB2312" w:cs="Times New Roman"/>
          <w:sz w:val="32"/>
          <w:szCs w:val="32"/>
          <w:lang w:eastAsia="zh-CN"/>
        </w:rPr>
        <w:t>项目主要内容：举办</w:t>
      </w:r>
      <w:r>
        <w:rPr>
          <w:rFonts w:hint="eastAsia" w:ascii="Times New Roman" w:hAnsi="Times New Roman" w:eastAsia="仿宋_GB2312" w:cs="Times New Roman"/>
          <w:sz w:val="32"/>
          <w:szCs w:val="32"/>
          <w:highlight w:val="none"/>
          <w:lang w:val="en-US" w:eastAsia="zh-CN"/>
        </w:rPr>
        <w:t>2024亚欧时装周活动</w:t>
      </w:r>
      <w:r>
        <w:rPr>
          <w:rFonts w:hint="eastAsia" w:eastAsia="仿宋_GB2312" w:cs="Times New Roman"/>
          <w:sz w:val="32"/>
          <w:szCs w:val="32"/>
          <w:highlight w:val="none"/>
          <w:lang w:val="en-US" w:eastAsia="zh-CN"/>
        </w:rPr>
        <w:t>。</w:t>
      </w:r>
    </w:p>
    <w:p w14:paraId="1FB2CDC5">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cs="仿宋_GB2312"/>
        </w:rPr>
      </w:pPr>
      <w:r>
        <w:rPr>
          <w:rFonts w:hint="default" w:ascii="Times New Roman" w:hAnsi="Times New Roman" w:eastAsia="仿宋_GB2312" w:cs="Times New Roman"/>
          <w:sz w:val="30"/>
          <w:szCs w:val="30"/>
          <w:highlight w:val="none"/>
          <w:lang w:val="en-US" w:eastAsia="zh-CN"/>
        </w:rPr>
        <w:t>项目实施情况</w:t>
      </w:r>
      <w:r>
        <w:rPr>
          <w:rFonts w:hint="default" w:ascii="Times New Roman" w:hAnsi="Times New Roman" w:eastAsia="仿宋_GB2312" w:cs="Times New Roman"/>
          <w:sz w:val="32"/>
          <w:szCs w:val="32"/>
        </w:rPr>
        <w:t>：</w:t>
      </w:r>
      <w:r>
        <w:rPr>
          <w:rFonts w:hint="eastAsia" w:ascii="仿宋_GB2312" w:hAnsi="仿宋_GB2312" w:eastAsia="仿宋_GB2312" w:cs="仿宋_GB2312"/>
          <w:sz w:val="32"/>
          <w:szCs w:val="32"/>
          <w:lang w:val="en-US" w:eastAsia="zh-CN"/>
        </w:rPr>
        <w:t>自治区同意举办2024亚欧时装周活动后，工信厅迅速优化完善了工作方案。协调自治区党委宣传部审定媒体吹风会发言稿、新闻通稿等材料，并组织主要新闻媒体及时进行报道；协调自治区党委网信办组织网络达人进行网络宣传，并对活动期间的舆情进行有效监测；协调乌鲁木齐市政府加强纺服中心安保力量，确保活动安全，开通专线在乌鲁木齐国际机场与纺服中心往返免费接送观众，给予出行便利；协调移动、电信、联通三大运营商在活动现场安排信号增强车，予以移动网络信号保障支持。通过各相关单位鼎力支持，确保了活动顺利开展。</w:t>
      </w:r>
    </w:p>
    <w:p w14:paraId="5C4D0E56">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05901BE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75C59677">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212.51</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212.51</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14:paraId="3DA77A3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0587A09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212.51</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212.51</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212.41</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99.95%</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举办2024亚欧时装周活动</w:t>
      </w:r>
      <w:r>
        <w:rPr>
          <w:rFonts w:hint="default" w:ascii="Times New Roman" w:hAnsi="Times New Roman" w:eastAsia="仿宋_GB2312" w:cs="Times New Roman"/>
          <w:sz w:val="32"/>
          <w:szCs w:val="32"/>
          <w:highlight w:val="none"/>
          <w:lang w:val="en-US" w:eastAsia="zh-CN"/>
        </w:rPr>
        <w:t>。</w:t>
      </w:r>
    </w:p>
    <w:p w14:paraId="64E0E5BB">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225A6803">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73B144BA">
      <w:pPr>
        <w:spacing w:line="560" w:lineRule="exact"/>
        <w:ind w:firstLine="624" w:firstLineChars="200"/>
        <w:rPr>
          <w:rFonts w:hint="eastAsia" w:ascii="仿宋_GB2312" w:hAnsi="仿宋_GB2312" w:eastAsia="仿宋_GB2312" w:cs="仿宋_GB2312"/>
          <w:b w:val="0"/>
          <w:bCs/>
          <w:highlight w:val="none"/>
          <w:lang w:val="en-US" w:eastAsia="zh-CN"/>
        </w:rPr>
      </w:pPr>
      <w:r>
        <w:rPr>
          <w:rStyle w:val="16"/>
          <w:rFonts w:hint="eastAsia" w:ascii="仿宋_GB2312" w:hAnsi="仿宋_GB2312" w:eastAsia="仿宋_GB2312" w:cs="仿宋_GB2312"/>
          <w:b w:val="0"/>
          <w:bCs/>
          <w:spacing w:val="-4"/>
          <w:sz w:val="32"/>
          <w:szCs w:val="32"/>
          <w:highlight w:val="none"/>
          <w:lang w:eastAsia="zh-CN"/>
        </w:rPr>
        <w:t>以“美丽新疆 多彩时尚”为主题，加强设计与市场融合，进一步促进设计师与产业对接，发挥产业孵化作用，助力品牌成长，推动纺织服装产业高质量发展</w:t>
      </w:r>
      <w:r>
        <w:rPr>
          <w:rStyle w:val="16"/>
          <w:rFonts w:hint="eastAsia" w:ascii="仿宋_GB2312" w:hAnsi="仿宋_GB2312" w:eastAsia="仿宋_GB2312" w:cs="仿宋_GB2312"/>
          <w:b w:val="0"/>
          <w:bCs/>
          <w:spacing w:val="-4"/>
          <w:sz w:val="32"/>
          <w:szCs w:val="32"/>
          <w:highlight w:val="none"/>
          <w:lang w:val="en-US" w:eastAsia="zh-CN"/>
        </w:rPr>
        <w:t>。</w:t>
      </w:r>
    </w:p>
    <w:p w14:paraId="134559E9">
      <w:pPr>
        <w:numPr>
          <w:ilvl w:val="0"/>
          <w:numId w:val="0"/>
        </w:numPr>
        <w:spacing w:line="560" w:lineRule="exact"/>
        <w:ind w:firstLine="640" w:firstLineChars="200"/>
        <w:rPr>
          <w:rFonts w:hint="default" w:ascii="Times New Roman" w:hAnsi="Times New Roman" w:eastAsia="仿宋_GB2312" w:cs="Times New Roman"/>
          <w:sz w:val="32"/>
          <w:szCs w:val="32"/>
        </w:rPr>
      </w:pP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rPr>
        <w:t>阶段性目标</w:t>
      </w:r>
    </w:p>
    <w:p w14:paraId="5E430120">
      <w:pPr>
        <w:numPr>
          <w:ilvl w:val="0"/>
          <w:numId w:val="0"/>
        </w:num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按时完成活动场地布置、嘉宾邀请等工作。</w:t>
      </w:r>
      <w:r>
        <w:rPr>
          <w:rFonts w:hint="eastAsia" w:ascii="Times New Roman" w:hAnsi="Times New Roman" w:eastAsia="仿宋_GB2312" w:cs="Times New Roman"/>
          <w:color w:val="auto"/>
          <w:sz w:val="32"/>
          <w:szCs w:val="32"/>
          <w:highlight w:val="none"/>
          <w:lang w:val="en-US" w:eastAsia="zh-CN"/>
        </w:rPr>
        <w:t>组织做好</w:t>
      </w:r>
      <w:r>
        <w:rPr>
          <w:rFonts w:hint="eastAsia" w:eastAsia="仿宋_GB2312" w:cs="Times New Roman"/>
          <w:color w:val="auto"/>
          <w:sz w:val="32"/>
          <w:szCs w:val="32"/>
          <w:highlight w:val="none"/>
          <w:lang w:val="en-US" w:eastAsia="zh-CN"/>
        </w:rPr>
        <w:t>活动新闻宣传工作</w:t>
      </w:r>
      <w:r>
        <w:rPr>
          <w:rFonts w:hint="eastAsia"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协调乌鲁木齐市人民政府，其他相关单位提供活动所需交通、安保、消防工作。</w:t>
      </w:r>
    </w:p>
    <w:p w14:paraId="36EF65EC">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3C8AF4A6">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2AFC566B">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2A8EFE70">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3EBF29D9">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p>
    <w:p w14:paraId="31C5563A">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65D694F">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EB9902B">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495F6AA4">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146C9C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063FD2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通过对项目预算执行情况及各项绩效目标达成程度的系统性分析，全面、客观地评估项目在预定周期内的实施效果，包括经济效益、社会效益等多维度指标，为项目后续的改进与优化提供科学依据。</w:t>
      </w:r>
    </w:p>
    <w:p w14:paraId="720198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10DB4F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3F31DC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356E08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759DD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5BBE76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359298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00B093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08E14A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1CFC431E">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14:paraId="2966C909">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highlight w:val="none"/>
        </w:rPr>
        <w:t>本项目预算绩效评价报告的评价对象是</w:t>
      </w:r>
      <w:r>
        <w:rPr>
          <w:rFonts w:hint="eastAsia" w:ascii="Times New Roman" w:hAnsi="Times New Roman" w:eastAsia="仿宋_GB2312" w:cs="Times New Roman"/>
          <w:b w:val="0"/>
          <w:bCs w:val="0"/>
          <w:highlight w:val="none"/>
          <w:lang w:val="en-US" w:eastAsia="zh-CN"/>
        </w:rPr>
        <w:t>2024亚欧时装周活动</w:t>
      </w:r>
      <w:r>
        <w:rPr>
          <w:rFonts w:hint="default" w:ascii="Times New Roman" w:hAnsi="Times New Roman" w:eastAsia="仿宋_GB2312" w:cs="Times New Roman"/>
          <w:b w:val="0"/>
          <w:bCs w:val="0"/>
          <w:highlight w:val="none"/>
        </w:rPr>
        <w:t>及其预算执行情况。该项目由</w:t>
      </w:r>
      <w:r>
        <w:rPr>
          <w:rFonts w:hint="eastAsia" w:ascii="Times New Roman" w:hAnsi="Times New Roman" w:eastAsia="仿宋_GB2312" w:cs="Times New Roman"/>
          <w:b w:val="0"/>
          <w:bCs w:val="0"/>
          <w:highlight w:val="none"/>
          <w:lang w:eastAsia="zh-CN"/>
        </w:rPr>
        <w:t>自治区工业和信息化厅</w:t>
      </w:r>
      <w:r>
        <w:rPr>
          <w:rFonts w:hint="default" w:ascii="Times New Roman" w:hAnsi="Times New Roman" w:eastAsia="仿宋_GB2312" w:cs="Times New Roman"/>
          <w:b w:val="0"/>
          <w:bCs w:val="0"/>
          <w:highlight w:val="none"/>
        </w:rPr>
        <w:t>负责实施，旨在</w:t>
      </w:r>
      <w:r>
        <w:rPr>
          <w:rFonts w:hint="eastAsia" w:ascii="Times New Roman" w:hAnsi="Times New Roman" w:eastAsia="仿宋_GB2312" w:cs="Times New Roman"/>
          <w:b w:val="0"/>
          <w:bCs w:val="0"/>
          <w:highlight w:val="none"/>
          <w:lang w:eastAsia="zh-CN"/>
        </w:rPr>
        <w:t>促进新疆服装产业发展</w:t>
      </w:r>
      <w:r>
        <w:rPr>
          <w:rFonts w:hint="default" w:ascii="Times New Roman" w:hAnsi="Times New Roman" w:eastAsia="仿宋_GB2312" w:cs="Times New Roman"/>
          <w:b w:val="0"/>
          <w:bCs w:val="0"/>
          <w:highlight w:val="none"/>
        </w:rPr>
        <w:t>。项目预算涵盖从</w:t>
      </w:r>
      <w:r>
        <w:rPr>
          <w:rFonts w:hint="eastAsia" w:ascii="Times New Roman" w:hAnsi="Times New Roman" w:eastAsia="仿宋_GB2312" w:cs="Times New Roman"/>
          <w:b w:val="0"/>
          <w:bCs w:val="0"/>
          <w:highlight w:val="none"/>
          <w:lang w:val="en-US" w:eastAsia="zh-CN"/>
        </w:rPr>
        <w:t>2024年6月16日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2024年7月2日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212.40</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14:paraId="3F33C646">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3CFD4D98">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1EDAE2DD">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165483F4">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640C8B18">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119D3251">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green"/>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经济等方面的综合影响。</w:t>
      </w:r>
    </w:p>
    <w:p w14:paraId="43243084">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75AD7916">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63B31865">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69A91297">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4BF0D051">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0FB464BB">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482AA014">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29B0AF59">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02EC58D9">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41071407">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4DB7E6D3">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27BE32F">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242A8286">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5E9CED62">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20420209">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187D0C50">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3CEA407D">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54DE2009">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7F16D8B3">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20B9BD60">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56833F83">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 xml:space="preserve">（一）成本效益分析法。是指将投入与产出、效益进行关联性分析的方法。 </w:t>
      </w:r>
    </w:p>
    <w:p w14:paraId="11094559">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（二）比较法。是指将实施情况与绩效目标、历史情况、不同部门和地区同类支出情况进行比较的方法。</w:t>
      </w:r>
    </w:p>
    <w:p w14:paraId="24C27F69">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（三）因素分析法。是指综合分析影响绩效目标实现、实施效果的内外部因素的方法。</w:t>
      </w:r>
    </w:p>
    <w:p w14:paraId="00F47AA1">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14:paraId="4CD045D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lang w:eastAsia="zh-CN"/>
        </w:rPr>
        <w:t>计划</w:t>
      </w:r>
      <w:r>
        <w:rPr>
          <w:rFonts w:hint="default" w:ascii="Times New Roman" w:hAnsi="Times New Roman" w:eastAsia="仿宋_GB2312" w:cs="Times New Roman"/>
          <w:b w:val="0"/>
          <w:bCs w:val="0"/>
        </w:rPr>
        <w:t>标准。</w:t>
      </w:r>
    </w:p>
    <w:p w14:paraId="0BF1D64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w:t>
      </w:r>
    </w:p>
    <w:p w14:paraId="6F1AFDDF">
      <w:pPr>
        <w:pStyle w:val="10"/>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63DE4C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p>
    <w:p w14:paraId="785A6A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61BE92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0A5A73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358FA7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2339E7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48628A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4E2ACB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6E9443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1FC488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4C9057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61E175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46014111">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709547C6">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27EBB82B">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sz w:val="32"/>
          <w:szCs w:val="32"/>
          <w:highlight w:val="none"/>
          <w:lang w:val="en-US" w:eastAsia="zh-CN"/>
        </w:rPr>
        <w:t>2024亚欧时装周活动</w:t>
      </w:r>
      <w:r>
        <w:rPr>
          <w:rFonts w:hint="eastAsia" w:eastAsia="仿宋_GB2312" w:cs="Times New Roman"/>
          <w:sz w:val="32"/>
          <w:szCs w:val="32"/>
          <w:highlight w:val="none"/>
          <w:lang w:val="en-US" w:eastAsia="zh-CN"/>
        </w:rPr>
        <w:t>在举办活动场次、参加活动人数</w:t>
      </w:r>
      <w:r>
        <w:rPr>
          <w:rFonts w:hint="default" w:ascii="Times New Roman" w:hAnsi="Times New Roman" w:eastAsia="仿宋_GB2312" w:cs="Times New Roman"/>
          <w:sz w:val="32"/>
          <w:szCs w:val="32"/>
          <w:highlight w:val="none"/>
        </w:rPr>
        <w:t>等方面表现出色，达到了预期的标准与要求。同时，项目也在</w:t>
      </w:r>
      <w:r>
        <w:rPr>
          <w:rFonts w:hint="eastAsia" w:eastAsia="仿宋_GB2312" w:cs="Times New Roman"/>
          <w:sz w:val="32"/>
          <w:szCs w:val="32"/>
          <w:highlight w:val="none"/>
          <w:lang w:eastAsia="zh-CN"/>
        </w:rPr>
        <w:t>宣传服装产业</w:t>
      </w:r>
      <w:r>
        <w:rPr>
          <w:rFonts w:hint="default" w:ascii="Times New Roman" w:hAnsi="Times New Roman" w:eastAsia="仿宋_GB2312" w:cs="Times New Roman"/>
          <w:sz w:val="32"/>
          <w:szCs w:val="32"/>
          <w:highlight w:val="none"/>
        </w:rPr>
        <w:t>取得了显著的成效，如</w:t>
      </w:r>
      <w:r>
        <w:rPr>
          <w:rFonts w:hint="default" w:ascii="Times New Roman" w:hAnsi="Times New Roman" w:eastAsia="仿宋_GB2312" w:cs="Times New Roman"/>
          <w:sz w:val="32"/>
          <w:szCs w:val="32"/>
          <w:highlight w:val="none"/>
          <w:lang w:val="en-US" w:eastAsia="zh-CN"/>
        </w:rPr>
        <w:t>共有中新网等近20家新闻媒体的25名记者在各大重要媒体平台发布了时装周新闻宣传稿件数十篇</w:t>
      </w:r>
      <w:r>
        <w:rPr>
          <w:rFonts w:hint="default" w:ascii="Times New Roman" w:hAnsi="Times New Roman" w:eastAsia="仿宋_GB2312" w:cs="Times New Roman"/>
          <w:sz w:val="32"/>
          <w:szCs w:val="32"/>
          <w:highlight w:val="none"/>
        </w:rPr>
        <w:t>等。</w:t>
      </w:r>
    </w:p>
    <w:p w14:paraId="764A6B42">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消费品工业处</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40A3CF55">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w:t>
      </w:r>
      <w:r>
        <w:rPr>
          <w:rFonts w:hint="eastAsia" w:eastAsia="仿宋_GB2312" w:cs="Times New Roman"/>
          <w:sz w:val="32"/>
          <w:szCs w:val="32"/>
          <w:highlight w:val="none"/>
          <w:lang w:val="en-US" w:eastAsia="zh-CN"/>
        </w:rPr>
        <w:t>经济效益</w:t>
      </w:r>
      <w:r>
        <w:rPr>
          <w:rFonts w:hint="default" w:ascii="Times New Roman" w:hAnsi="Times New Roman" w:eastAsia="仿宋_GB2312" w:cs="Times New Roman"/>
          <w:sz w:val="32"/>
          <w:szCs w:val="32"/>
          <w:highlight w:val="none"/>
        </w:rPr>
        <w:t>等方面产生了积极的影响。具体而言，</w:t>
      </w:r>
      <w:r>
        <w:rPr>
          <w:rFonts w:hint="eastAsia" w:eastAsia="仿宋_GB2312" w:cs="Times New Roman"/>
          <w:sz w:val="32"/>
          <w:szCs w:val="32"/>
          <w:highlight w:val="none"/>
          <w:lang w:eastAsia="zh-CN"/>
        </w:rPr>
        <w:t>活动期间</w:t>
      </w:r>
      <w:r>
        <w:rPr>
          <w:rFonts w:hint="eastAsia" w:eastAsia="仿宋_GB2312" w:cs="Times New Roman"/>
          <w:sz w:val="32"/>
          <w:szCs w:val="32"/>
          <w:highlight w:val="none"/>
          <w:lang w:val="en-US" w:eastAsia="zh-CN"/>
        </w:rPr>
        <w:t>共有18位设计师举办了16场时装发布，</w:t>
      </w:r>
      <w:r>
        <w:rPr>
          <w:rFonts w:hint="eastAsia" w:eastAsia="仿宋_GB2312" w:cs="Times New Roman"/>
          <w:sz w:val="32"/>
          <w:szCs w:val="32"/>
          <w:highlight w:val="none"/>
          <w:lang w:eastAsia="zh-CN"/>
        </w:rPr>
        <w:t>发布的品牌主要有丝路霓裳、国之桦、JOOOYS等。开幕式安排</w:t>
      </w:r>
      <w:r>
        <w:rPr>
          <w:rFonts w:hint="eastAsia" w:eastAsia="仿宋_GB2312" w:cs="Times New Roman"/>
          <w:sz w:val="32"/>
          <w:szCs w:val="32"/>
          <w:highlight w:val="none"/>
          <w:lang w:val="en-US" w:eastAsia="zh-CN"/>
        </w:rPr>
        <w:t>3位</w:t>
      </w:r>
      <w:r>
        <w:rPr>
          <w:rFonts w:hint="eastAsia" w:eastAsia="仿宋_GB2312" w:cs="Times New Roman"/>
          <w:sz w:val="32"/>
          <w:szCs w:val="32"/>
          <w:highlight w:val="none"/>
          <w:lang w:eastAsia="zh-CN"/>
        </w:rPr>
        <w:t>我区的十</w:t>
      </w:r>
      <w:r>
        <w:rPr>
          <w:rFonts w:hint="eastAsia" w:eastAsia="仿宋_GB2312" w:cs="Times New Roman"/>
          <w:sz w:val="32"/>
          <w:szCs w:val="32"/>
          <w:highlight w:val="none"/>
          <w:lang w:val="en-US" w:eastAsia="zh-CN"/>
        </w:rPr>
        <w:t>佳时装设计师、1位广东的中国十佳时装设计师与3为分别来自俄罗斯、吉尔吉斯斯坦、哈萨克斯坦的知名设计师联合发布时装秀；闭幕式安排中国金顶奖设计师刘小燕发布时装秀。同</w:t>
      </w:r>
      <w:r>
        <w:rPr>
          <w:rFonts w:hint="eastAsia" w:eastAsia="仿宋_GB2312" w:cs="Times New Roman"/>
          <w:sz w:val="32"/>
          <w:szCs w:val="32"/>
          <w:highlight w:val="none"/>
          <w:lang w:eastAsia="zh-CN"/>
        </w:rPr>
        <w:t>时举行的还有</w:t>
      </w:r>
      <w:r>
        <w:rPr>
          <w:rFonts w:hint="eastAsia" w:eastAsia="仿宋_GB2312" w:cs="Times New Roman"/>
          <w:sz w:val="32"/>
          <w:szCs w:val="32"/>
          <w:highlight w:val="none"/>
          <w:lang w:val="en-US" w:eastAsia="zh-CN"/>
        </w:rPr>
        <w:t>服饰静态展、品牌对接会以及文旅展销等多种配套商务活动</w:t>
      </w:r>
      <w:r>
        <w:rPr>
          <w:rFonts w:hint="default" w:ascii="Times New Roman" w:hAnsi="Times New Roman" w:eastAsia="仿宋_GB2312" w:cs="Times New Roman"/>
          <w:sz w:val="32"/>
          <w:szCs w:val="32"/>
          <w:highlight w:val="none"/>
        </w:rPr>
        <w:t>，为项目的利益相关者带来了实实在在的利益。</w:t>
      </w:r>
    </w:p>
    <w:p w14:paraId="4E668054">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eastAsia="仿宋_GB2312" w:cs="Times New Roman"/>
          <w:sz w:val="32"/>
          <w:szCs w:val="32"/>
          <w:highlight w:val="none"/>
          <w:lang w:val="en-US" w:eastAsia="zh-CN"/>
        </w:rPr>
        <w:t>2024亚欧时装周活动</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14:paraId="608268FE">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10759B69">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w:t>
      </w:r>
      <w:r>
        <w:rPr>
          <w:rFonts w:hint="default" w:ascii="Times New Roman" w:hAnsi="Times New Roman" w:eastAsia="仿宋_GB2312" w:cs="Times New Roman"/>
          <w:b w:val="0"/>
          <w:bCs w:val="0"/>
        </w:rPr>
        <w:t>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14:paraId="638139B3">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14:paraId="07CAF0A3">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168BF88C">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7980034A">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72F03B2F">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14:paraId="7A509853">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98474EA">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14:paraId="11806D46">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4A06BEE6">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77D7D58C">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D27A385">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14:paraId="4047B9F2">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384EA25C">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58F9C86C">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D736BCF">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14:paraId="14BE1764">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064ADBCD">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14:paraId="43E58DD8">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A58B508">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14:paraId="4F946601">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041633C5">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6A386472">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E9B65F7">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14:paraId="5A9F154B">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6EDFA3B3">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14:paraId="6CC4ABA1">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46250FB3">
      <w:pPr>
        <w:pStyle w:val="10"/>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5963FB9F">
      <w:pPr>
        <w:shd w:val="clear"/>
        <w:spacing w:line="600" w:lineRule="exact"/>
        <w:ind w:firstLine="640" w:firstLineChars="200"/>
        <w:outlineLvl w:val="0"/>
        <w:rPr>
          <w:rFonts w:hint="default" w:ascii="Times New Roman" w:hAnsi="Times New Roman" w:eastAsia="仿宋_GB2312" w:cs="Times New Roman"/>
          <w:sz w:val="32"/>
          <w:szCs w:val="32"/>
          <w:highlight w:val="yellow"/>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4F4840B1">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435BA554">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5AA109F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0CC37F0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1456C98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4C03A9FF">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503F5C1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2A290D19">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521177F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16849B44">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5611D2C2">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1F8B6EC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50315A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42F1E967">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32C9EEA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2D0466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5ED557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7046A4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0A6B02BE">
      <w:pPr>
        <w:pStyle w:val="10"/>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50498A6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64E05039">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2591C54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00286B1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212.51</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19330AD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3DF478D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212.41</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99.95</w:t>
      </w:r>
      <w:r>
        <w:rPr>
          <w:rFonts w:hint="default" w:ascii="Times New Roman" w:hAnsi="Times New Roman" w:eastAsia="仿宋_GB2312" w:cs="Times New Roman"/>
          <w:sz w:val="32"/>
          <w:szCs w:val="32"/>
          <w:highlight w:val="none"/>
          <w:lang w:val="en-US" w:eastAsia="zh-CN"/>
        </w:rPr>
        <w:t>%。</w:t>
      </w:r>
    </w:p>
    <w:p w14:paraId="277EEED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690E4C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3FDC2E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3BF598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02F9A8A2">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6D29B39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14:paraId="7F54B7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51C139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5EF498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0D2EC59D">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596B8A5B">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4AE764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3DEB4C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1791BF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605389EE">
      <w:pPr>
        <w:pStyle w:val="12"/>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7590F06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个三级指标构成，权重分为40分，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具体产出指标完成情况如下：</w:t>
      </w:r>
    </w:p>
    <w:p w14:paraId="7D7CC50C">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46D7AC39">
      <w:pPr>
        <w:shd w:val="clear"/>
        <w:spacing w:line="600" w:lineRule="exact"/>
        <w:ind w:firstLine="640" w:firstLineChars="200"/>
        <w:outlineLvl w:val="0"/>
        <w:rPr>
          <w:rFonts w:hint="default" w:ascii="Times New Roman" w:hAnsi="Times New Roman" w:cs="Times New Roma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发布设计师成果时装秀场次</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15场</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16</w:t>
      </w:r>
      <w:r>
        <w:rPr>
          <w:rFonts w:hint="default" w:ascii="Times New Roman" w:hAnsi="Times New Roman" w:eastAsia="仿宋_GB2312" w:cs="Times New Roman"/>
          <w:sz w:val="32"/>
          <w:szCs w:val="32"/>
          <w:highlight w:val="none"/>
        </w:rPr>
        <w:t xml:space="preserve"> ，指标完成率 </w:t>
      </w:r>
      <w:r>
        <w:rPr>
          <w:rFonts w:hint="eastAsia" w:eastAsia="仿宋_GB2312" w:cs="Times New Roman"/>
          <w:sz w:val="32"/>
          <w:szCs w:val="32"/>
          <w:highlight w:val="none"/>
          <w:lang w:val="en-US" w:eastAsia="zh-CN"/>
        </w:rPr>
        <w:t>106.67</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51E69F0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宣传发布平台个数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20个</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30</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150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10777533">
      <w:pPr>
        <w:shd w:val="clear"/>
        <w:spacing w:line="600" w:lineRule="exact"/>
        <w:ind w:firstLine="640" w:firstLineChars="200"/>
        <w:outlineLvl w:val="0"/>
        <w:rPr>
          <w:rFonts w:hint="eastAsia" w:eastAsia="仿宋_GB2312"/>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举办开闭幕式场次</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2场</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 xml:space="preserve"> ，指标完成率 </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5BF51A0F">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65BD2E17">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资金使用合格率</w:t>
      </w:r>
      <w:r>
        <w:rPr>
          <w:rFonts w:hint="default" w:ascii="Times New Roman" w:hAnsi="Times New Roman" w:eastAsia="仿宋_GB2312" w:cs="Times New Roman"/>
          <w:sz w:val="32"/>
          <w:szCs w:val="32"/>
          <w:highlight w:val="none"/>
        </w:rPr>
        <w:t>，指标值：</w:t>
      </w:r>
      <w:r>
        <w:rPr>
          <w:rFonts w:hint="eastAsia" w:ascii="东文宋体" w:hAnsi="东文宋体" w:eastAsia="东文宋体" w:cs="东文宋体"/>
          <w:sz w:val="32"/>
          <w:szCs w:val="32"/>
          <w:highlight w:val="none"/>
        </w:rPr>
        <w:t>≥</w:t>
      </w:r>
      <w:r>
        <w:rPr>
          <w:rFonts w:hint="eastAsia" w:eastAsia="仿宋_GB2312" w:cs="Times New Roman"/>
          <w:sz w:val="32"/>
          <w:szCs w:val="32"/>
          <w:highlight w:val="none"/>
          <w:lang w:val="en-US" w:eastAsia="zh-CN"/>
        </w:rPr>
        <w:t>99%</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3BF34AD9">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51B02E1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活动按期完成率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71A71106">
      <w:pPr>
        <w:pStyle w:val="12"/>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56A138E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项目效益类指标包括项目实施效益和满意度两方面的内容，由</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个三级指标构成，权重分为20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w:t>
      </w:r>
      <w:r>
        <w:rPr>
          <w:rFonts w:hint="default" w:ascii="Times New Roman" w:hAnsi="Times New Roman" w:eastAsia="仿宋_GB2312" w:cs="Times New Roman"/>
          <w:sz w:val="32"/>
          <w:szCs w:val="32"/>
          <w:lang w:val="en-US" w:eastAsia="zh-CN"/>
        </w:rPr>
        <w:t>标完成情况如下：</w:t>
      </w:r>
    </w:p>
    <w:p w14:paraId="084A521B">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14:paraId="752184F8">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14:paraId="17D0F54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助力品牌成长，推动产业发展</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14AFD3C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0BB8F92F">
      <w:pPr>
        <w:pStyle w:val="2"/>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参加活动企业满意度</w:t>
      </w:r>
      <w:r>
        <w:rPr>
          <w:rFonts w:hint="default" w:ascii="Times New Roman" w:hAnsi="Times New Roman" w:eastAsia="仿宋_GB2312" w:cs="Times New Roman"/>
          <w:sz w:val="32"/>
          <w:szCs w:val="32"/>
          <w:highlight w:val="none"/>
        </w:rPr>
        <w:t>，指标值：</w:t>
      </w:r>
      <w:r>
        <w:rPr>
          <w:rFonts w:hint="eastAsia" w:ascii="东文宋体" w:hAnsi="东文宋体" w:eastAsia="东文宋体" w:cs="东文宋体"/>
          <w:sz w:val="32"/>
          <w:szCs w:val="32"/>
          <w:highlight w:val="none"/>
        </w:rPr>
        <w:t>≥</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bookmarkStart w:id="3" w:name="_GoBack"/>
      <w:bookmarkEnd w:id="3"/>
    </w:p>
    <w:p w14:paraId="54A0777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p>
    <w:p w14:paraId="5352787D">
      <w:pPr>
        <w:spacing w:line="560" w:lineRule="exact"/>
        <w:ind w:firstLine="640" w:firstLineChars="200"/>
        <w:rPr>
          <w:rFonts w:hint="eastAsia" w:ascii="黑体" w:hAnsi="黑体" w:eastAsia="黑体" w:cs="黑体"/>
          <w:b w:val="0"/>
          <w:bCs w:val="0"/>
          <w:sz w:val="32"/>
          <w:szCs w:val="32"/>
          <w:lang w:val="en-US" w:eastAsia="zh-Hans"/>
        </w:rPr>
      </w:pP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en-US" w:eastAsia="zh-Hans"/>
        </w:rPr>
        <w:t>预算执行进度与绩效指标总体完成率偏差</w:t>
      </w:r>
    </w:p>
    <w:p w14:paraId="06A47934">
      <w:pPr>
        <w:pStyle w:val="19"/>
        <w:spacing w:line="560" w:lineRule="exact"/>
        <w:ind w:firstLine="64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2024亚欧时装周活动</w:t>
      </w:r>
      <w:r>
        <w:rPr>
          <w:rFonts w:hint="eastAsia" w:ascii="仿宋_GB2312" w:hAnsi="仿宋_GB2312" w:eastAsia="仿宋_GB2312" w:cs="仿宋_GB2312"/>
          <w:b w:val="0"/>
          <w:bCs w:val="0"/>
          <w:sz w:val="32"/>
          <w:szCs w:val="32"/>
          <w:highlight w:val="none"/>
        </w:rPr>
        <w:t>项目年初预算</w:t>
      </w:r>
      <w:r>
        <w:rPr>
          <w:rFonts w:hint="eastAsia" w:ascii="仿宋_GB2312" w:hAnsi="仿宋_GB2312" w:eastAsia="仿宋_GB2312" w:cs="仿宋_GB2312"/>
          <w:b w:val="0"/>
          <w:bCs w:val="0"/>
          <w:sz w:val="32"/>
          <w:szCs w:val="32"/>
          <w:highlight w:val="none"/>
          <w:lang w:val="en-US" w:eastAsia="zh-CN"/>
        </w:rPr>
        <w:t>212.51</w:t>
      </w:r>
      <w:r>
        <w:rPr>
          <w:rFonts w:hint="eastAsia" w:ascii="仿宋_GB2312" w:hAnsi="仿宋_GB2312" w:eastAsia="仿宋_GB2312" w:cs="仿宋_GB2312"/>
          <w:b w:val="0"/>
          <w:bCs w:val="0"/>
          <w:sz w:val="32"/>
          <w:szCs w:val="32"/>
          <w:highlight w:val="none"/>
        </w:rPr>
        <w:t>万元，全年预算</w:t>
      </w:r>
      <w:r>
        <w:rPr>
          <w:rFonts w:hint="eastAsia" w:ascii="仿宋_GB2312" w:hAnsi="仿宋_GB2312" w:eastAsia="仿宋_GB2312" w:cs="仿宋_GB2312"/>
          <w:b w:val="0"/>
          <w:bCs w:val="0"/>
          <w:sz w:val="32"/>
          <w:szCs w:val="32"/>
          <w:highlight w:val="none"/>
          <w:lang w:val="en-US" w:eastAsia="zh-CN"/>
        </w:rPr>
        <w:t>212.51</w:t>
      </w:r>
      <w:r>
        <w:rPr>
          <w:rFonts w:hint="eastAsia" w:ascii="仿宋_GB2312" w:hAnsi="仿宋_GB2312" w:eastAsia="仿宋_GB2312" w:cs="仿宋_GB2312"/>
          <w:b w:val="0"/>
          <w:bCs w:val="0"/>
          <w:sz w:val="32"/>
          <w:szCs w:val="32"/>
          <w:highlight w:val="none"/>
        </w:rPr>
        <w:t>万元，实际支出</w:t>
      </w:r>
      <w:r>
        <w:rPr>
          <w:rFonts w:hint="eastAsia" w:ascii="仿宋_GB2312" w:hAnsi="仿宋_GB2312" w:eastAsia="仿宋_GB2312" w:cs="仿宋_GB2312"/>
          <w:b w:val="0"/>
          <w:bCs w:val="0"/>
          <w:sz w:val="32"/>
          <w:szCs w:val="32"/>
          <w:highlight w:val="none"/>
          <w:lang w:val="en-US" w:eastAsia="zh-CN"/>
        </w:rPr>
        <w:t>212.41</w:t>
      </w:r>
      <w:r>
        <w:rPr>
          <w:rFonts w:hint="eastAsia" w:ascii="仿宋_GB2312" w:hAnsi="仿宋_GB2312" w:eastAsia="仿宋_GB2312" w:cs="仿宋_GB2312"/>
          <w:b w:val="0"/>
          <w:bCs w:val="0"/>
          <w:sz w:val="32"/>
          <w:szCs w:val="32"/>
          <w:highlight w:val="none"/>
        </w:rPr>
        <w:t>万元，预算执行率为</w:t>
      </w:r>
      <w:r>
        <w:rPr>
          <w:rFonts w:hint="eastAsia" w:ascii="仿宋_GB2312" w:hAnsi="仿宋_GB2312" w:eastAsia="仿宋_GB2312" w:cs="仿宋_GB2312"/>
          <w:b w:val="0"/>
          <w:bCs w:val="0"/>
          <w:sz w:val="32"/>
          <w:szCs w:val="32"/>
          <w:highlight w:val="none"/>
          <w:lang w:val="en-US" w:eastAsia="zh-CN"/>
        </w:rPr>
        <w:t>99.95</w:t>
      </w:r>
      <w:r>
        <w:rPr>
          <w:rFonts w:hint="eastAsia" w:ascii="仿宋_GB2312" w:hAnsi="仿宋_GB2312" w:eastAsia="仿宋_GB2312" w:cs="仿宋_GB2312"/>
          <w:b w:val="0"/>
          <w:bCs w:val="0"/>
          <w:sz w:val="32"/>
          <w:szCs w:val="32"/>
          <w:highlight w:val="none"/>
        </w:rPr>
        <w:t>%，项目绩效指标总体完成率为</w:t>
      </w:r>
      <w:r>
        <w:rPr>
          <w:rFonts w:hint="eastAsia" w:ascii="仿宋_GB2312" w:hAnsi="仿宋_GB2312" w:eastAsia="仿宋_GB2312" w:cs="仿宋_GB2312"/>
          <w:b w:val="0"/>
          <w:bCs w:val="0"/>
          <w:sz w:val="32"/>
          <w:szCs w:val="32"/>
          <w:highlight w:val="none"/>
          <w:lang w:val="en-US" w:eastAsia="zh-CN"/>
        </w:rPr>
        <w:t>100</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Hans"/>
        </w:rPr>
        <w:t>总体</w:t>
      </w:r>
      <w:r>
        <w:rPr>
          <w:rFonts w:hint="eastAsia" w:ascii="仿宋_GB2312" w:hAnsi="仿宋_GB2312" w:eastAsia="仿宋_GB2312" w:cs="仿宋_GB2312"/>
          <w:b w:val="0"/>
          <w:bCs w:val="0"/>
          <w:sz w:val="32"/>
          <w:szCs w:val="32"/>
          <w:highlight w:val="none"/>
        </w:rPr>
        <w:t>偏差率为</w:t>
      </w:r>
      <w:r>
        <w:rPr>
          <w:rFonts w:hint="eastAsia" w:ascii="仿宋_GB2312" w:hAnsi="仿宋_GB2312" w:eastAsia="仿宋_GB2312" w:cs="仿宋_GB2312"/>
          <w:b w:val="0"/>
          <w:bCs w:val="0"/>
          <w:sz w:val="32"/>
          <w:szCs w:val="32"/>
          <w:highlight w:val="none"/>
          <w:lang w:val="en-US" w:eastAsia="zh-CN"/>
        </w:rPr>
        <w:t>0.05</w:t>
      </w:r>
      <w:r>
        <w:rPr>
          <w:rFonts w:hint="eastAsia" w:ascii="仿宋_GB2312" w:hAnsi="仿宋_GB2312" w:eastAsia="仿宋_GB2312" w:cs="仿宋_GB2312"/>
          <w:b w:val="0"/>
          <w:bCs w:val="0"/>
          <w:sz w:val="32"/>
          <w:szCs w:val="32"/>
          <w:highlight w:val="none"/>
        </w:rPr>
        <w:t>%。</w:t>
      </w:r>
    </w:p>
    <w:p w14:paraId="5275C038">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14:paraId="0923335C">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02A2207B">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0DAECDA3">
      <w:pPr>
        <w:pStyle w:val="10"/>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53265AFF">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18EBDBF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76BFF92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4F9B698A">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14:paraId="631D78C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0FE68F1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01FFD1A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44C576A0">
      <w:pPr>
        <w:shd w:val="clear"/>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14:paraId="1254DB3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建立绩效工作考核制度，加大全局对全面实施预算绩效管理和绩效管理工作的学习力度，让“花钱必问效，无效必问责”的理念深入工作每个环节。</w:t>
      </w:r>
    </w:p>
    <w:p w14:paraId="232921A0">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05CC10D3">
      <w:pPr>
        <w:pStyle w:val="13"/>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14:paraId="5733E2F1">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5D70C0BB">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6FE15DB3">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2BC2EC0F">
      <w:pPr>
        <w:pStyle w:val="13"/>
        <w:spacing w:after="0" w:line="560" w:lineRule="exact"/>
        <w:ind w:left="0" w:leftChars="0" w:firstLine="0" w:firstLineChars="0"/>
        <w:rPr>
          <w:rFonts w:hint="default" w:ascii="Times New Roman" w:hAnsi="Times New Roman" w:eastAsia="仿宋_GB2312" w:cs="Times New Roman"/>
          <w:sz w:val="32"/>
          <w:szCs w:val="32"/>
        </w:rPr>
      </w:pPr>
    </w:p>
    <w:p w14:paraId="6CE91CE9">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1BFC934F">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3C345329">
      <w:pPr>
        <w:pStyle w:val="19"/>
        <w:ind w:firstLine="562"/>
        <w:jc w:val="center"/>
        <w:rPr>
          <w:rFonts w:hint="eastAsia" w:ascii="仿宋_GB2312" w:hAnsi="仿宋_GB2312" w:eastAsia="仿宋_GB2312" w:cs="仿宋_GB2312"/>
          <w:sz w:val="28"/>
          <w:szCs w:val="40"/>
        </w:rPr>
      </w:pPr>
      <w:bookmarkStart w:id="1" w:name="_Toc30064_WPSOffice_Level1"/>
      <w:bookmarkStart w:id="2" w:name="_Toc26499_WPSOffice_Level2"/>
      <w:r>
        <w:rPr>
          <w:rFonts w:hint="eastAsia" w:ascii="仿宋_GB2312" w:hAnsi="仿宋_GB2312" w:eastAsia="仿宋_GB2312" w:cs="仿宋_GB2312"/>
          <w:b/>
          <w:bCs/>
          <w:sz w:val="28"/>
          <w:szCs w:val="40"/>
          <w:lang w:val="en-US" w:eastAsia="zh-CN"/>
        </w:rPr>
        <w:t>2024亚欧时装周活动项目</w:t>
      </w:r>
      <w:r>
        <w:rPr>
          <w:rFonts w:hint="eastAsia" w:ascii="仿宋_GB2312" w:hAnsi="仿宋_GB2312" w:eastAsia="仿宋_GB2312" w:cs="仿宋_GB2312"/>
          <w:b/>
          <w:bCs/>
          <w:sz w:val="28"/>
          <w:szCs w:val="40"/>
        </w:rPr>
        <w:t>绩效评价指标体系及综合评分表</w:t>
      </w:r>
      <w:bookmarkEnd w:id="1"/>
      <w:bookmarkEnd w:id="2"/>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14:paraId="6C3F2A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14:paraId="495C15E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14:paraId="42A02FB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14:paraId="739CE93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14:paraId="6209F30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14:paraId="7ABBBA0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14:paraId="3B1DDA2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14:paraId="31CABE0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7D04E9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14:paraId="11FDF428">
            <w:pPr>
              <w:widowControl/>
              <w:spacing w:line="0" w:lineRule="atLeast"/>
              <w:jc w:val="center"/>
              <w:rPr>
                <w:rFonts w:hint="default" w:ascii="Times New Roman" w:hAnsi="Times New Roman" w:eastAsia="仿宋_GB2312" w:cs="Times New Roman"/>
                <w:color w:val="000000"/>
                <w:kern w:val="0"/>
                <w:sz w:val="18"/>
                <w:szCs w:val="18"/>
              </w:rPr>
            </w:pPr>
          </w:p>
          <w:p w14:paraId="36B940B7">
            <w:pPr>
              <w:widowControl/>
              <w:spacing w:line="0" w:lineRule="atLeast"/>
              <w:jc w:val="center"/>
              <w:rPr>
                <w:rFonts w:hint="default" w:ascii="Times New Roman" w:hAnsi="Times New Roman" w:eastAsia="仿宋_GB2312" w:cs="Times New Roman"/>
                <w:color w:val="000000"/>
                <w:kern w:val="0"/>
                <w:sz w:val="18"/>
                <w:szCs w:val="18"/>
              </w:rPr>
            </w:pPr>
          </w:p>
          <w:p w14:paraId="00C28A53">
            <w:pPr>
              <w:widowControl/>
              <w:spacing w:line="0" w:lineRule="atLeast"/>
              <w:jc w:val="center"/>
              <w:rPr>
                <w:rFonts w:hint="default" w:ascii="Times New Roman" w:hAnsi="Times New Roman" w:eastAsia="仿宋_GB2312" w:cs="Times New Roman"/>
                <w:color w:val="000000"/>
                <w:kern w:val="0"/>
                <w:sz w:val="18"/>
                <w:szCs w:val="18"/>
              </w:rPr>
            </w:pPr>
          </w:p>
          <w:p w14:paraId="13C05499">
            <w:pPr>
              <w:widowControl/>
              <w:spacing w:line="0" w:lineRule="atLeast"/>
              <w:jc w:val="center"/>
              <w:rPr>
                <w:rFonts w:hint="default" w:ascii="Times New Roman" w:hAnsi="Times New Roman" w:eastAsia="仿宋_GB2312" w:cs="Times New Roman"/>
                <w:color w:val="000000"/>
                <w:kern w:val="0"/>
                <w:sz w:val="18"/>
                <w:szCs w:val="18"/>
              </w:rPr>
            </w:pPr>
          </w:p>
          <w:p w14:paraId="3B124F72">
            <w:pPr>
              <w:widowControl/>
              <w:spacing w:line="0" w:lineRule="atLeast"/>
              <w:jc w:val="center"/>
              <w:rPr>
                <w:rFonts w:hint="default" w:ascii="Times New Roman" w:hAnsi="Times New Roman" w:eastAsia="仿宋_GB2312" w:cs="Times New Roman"/>
                <w:color w:val="000000"/>
                <w:kern w:val="0"/>
                <w:sz w:val="18"/>
                <w:szCs w:val="18"/>
              </w:rPr>
            </w:pPr>
          </w:p>
          <w:p w14:paraId="2D2396DF">
            <w:pPr>
              <w:widowControl/>
              <w:spacing w:line="0" w:lineRule="atLeast"/>
              <w:jc w:val="center"/>
              <w:rPr>
                <w:rFonts w:hint="default" w:ascii="Times New Roman" w:hAnsi="Times New Roman" w:eastAsia="仿宋_GB2312" w:cs="Times New Roman"/>
                <w:color w:val="000000"/>
                <w:kern w:val="0"/>
                <w:sz w:val="18"/>
                <w:szCs w:val="18"/>
              </w:rPr>
            </w:pPr>
          </w:p>
          <w:p w14:paraId="36B6BC3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94" w:type="pct"/>
            <w:vMerge w:val="restart"/>
            <w:shd w:val="clear" w:color="auto" w:fill="FFFFFF"/>
            <w:vAlign w:val="center"/>
          </w:tcPr>
          <w:p w14:paraId="773B738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422" w:type="pct"/>
            <w:shd w:val="clear" w:color="auto" w:fill="FFFFFF"/>
            <w:vAlign w:val="center"/>
          </w:tcPr>
          <w:p w14:paraId="555882A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2949E1D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80" w:type="pct"/>
            <w:shd w:val="clear" w:color="auto" w:fill="FFFFFF"/>
            <w:vAlign w:val="center"/>
          </w:tcPr>
          <w:p w14:paraId="1486EEA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14:paraId="341173EE">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12" w:type="pct"/>
            <w:shd w:val="clear" w:color="auto" w:fill="FFFFFF"/>
            <w:vAlign w:val="center"/>
          </w:tcPr>
          <w:p w14:paraId="31230C0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14:paraId="141CB3B0">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w:t>
            </w:r>
          </w:p>
        </w:tc>
      </w:tr>
      <w:tr w14:paraId="777E03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3C32DC37">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203DC567">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2C7BF1B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479BA63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80" w:type="pct"/>
            <w:shd w:val="clear" w:color="auto" w:fill="FFFFFF"/>
            <w:vAlign w:val="center"/>
          </w:tcPr>
          <w:p w14:paraId="705C19D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55" w:type="pct"/>
            <w:shd w:val="clear" w:color="auto" w:fill="FFFFFF"/>
            <w:vAlign w:val="center"/>
          </w:tcPr>
          <w:p w14:paraId="710C6C0D">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12" w:type="pct"/>
            <w:shd w:val="clear" w:color="auto" w:fill="FFFFFF"/>
            <w:vAlign w:val="center"/>
          </w:tcPr>
          <w:p w14:paraId="178DD7A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14:paraId="681B905D">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w:t>
            </w:r>
          </w:p>
        </w:tc>
      </w:tr>
      <w:tr w14:paraId="728178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0FF46C4A">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14:paraId="7492391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422" w:type="pct"/>
            <w:shd w:val="clear" w:color="auto" w:fill="FFFFFF"/>
            <w:vAlign w:val="center"/>
          </w:tcPr>
          <w:p w14:paraId="64F18A8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54657AC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000000" w:fill="FFFFFF"/>
            <w:vAlign w:val="center"/>
          </w:tcPr>
          <w:p w14:paraId="1A7502F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14:paraId="4BEA20BD">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2AB94D6E">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12" w:type="pct"/>
            <w:shd w:val="clear" w:color="000000" w:fill="FFFFFF"/>
            <w:vAlign w:val="center"/>
          </w:tcPr>
          <w:p w14:paraId="5FB7F8B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14:paraId="0FBDE012">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w:t>
            </w:r>
          </w:p>
        </w:tc>
      </w:tr>
      <w:tr w14:paraId="28B9C9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14:paraId="4D8FC6FD">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6A6A811D">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76B47E4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56BEFE0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80" w:type="pct"/>
            <w:shd w:val="clear" w:color="000000" w:fill="FFFFFF"/>
            <w:vAlign w:val="center"/>
          </w:tcPr>
          <w:p w14:paraId="33D8D1E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14:paraId="5FC0D96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12" w:type="pct"/>
            <w:shd w:val="clear" w:color="000000" w:fill="FFFFFF"/>
            <w:vAlign w:val="center"/>
          </w:tcPr>
          <w:p w14:paraId="506DFC2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14:paraId="4CAB8B33">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w:t>
            </w:r>
          </w:p>
        </w:tc>
      </w:tr>
      <w:tr w14:paraId="2C957C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14:paraId="51B468C6">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14:paraId="5F63FCB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6EA8D321">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14:paraId="64CE06B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3225306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80" w:type="pct"/>
            <w:shd w:val="clear" w:color="auto" w:fill="FFFFFF"/>
            <w:vAlign w:val="center"/>
          </w:tcPr>
          <w:p w14:paraId="79D0170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14:paraId="29393C5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12" w:type="pct"/>
            <w:shd w:val="clear" w:color="auto" w:fill="FFFFFF"/>
            <w:vAlign w:val="center"/>
          </w:tcPr>
          <w:p w14:paraId="04B42BE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09536AAD">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6717BA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14:paraId="0F4C5AAF">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60F6783B">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7153C9F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2654948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auto" w:fill="FFFFFF"/>
            <w:vAlign w:val="center"/>
          </w:tcPr>
          <w:p w14:paraId="452FF82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14:paraId="7847078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12" w:type="pct"/>
            <w:shd w:val="clear" w:color="auto" w:fill="FFFFFF"/>
            <w:vAlign w:val="center"/>
          </w:tcPr>
          <w:p w14:paraId="6B7D48A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77239B58">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365515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14:paraId="0548B27B">
            <w:pPr>
              <w:spacing w:line="0" w:lineRule="atLeast"/>
              <w:jc w:val="center"/>
              <w:rPr>
                <w:rFonts w:hint="default" w:ascii="Times New Roman" w:hAnsi="Times New Roman" w:eastAsia="仿宋_GB2312" w:cs="Times New Roman"/>
                <w:color w:val="000000"/>
                <w:kern w:val="0"/>
                <w:sz w:val="18"/>
                <w:szCs w:val="18"/>
              </w:rPr>
            </w:pPr>
          </w:p>
          <w:p w14:paraId="70958EB2">
            <w:pPr>
              <w:spacing w:line="0" w:lineRule="atLeast"/>
              <w:jc w:val="center"/>
              <w:rPr>
                <w:rFonts w:hint="default" w:ascii="Times New Roman" w:hAnsi="Times New Roman" w:eastAsia="仿宋_GB2312" w:cs="Times New Roman"/>
                <w:color w:val="000000"/>
                <w:kern w:val="0"/>
                <w:sz w:val="18"/>
                <w:szCs w:val="18"/>
              </w:rPr>
            </w:pPr>
          </w:p>
          <w:p w14:paraId="53BBCC18">
            <w:pPr>
              <w:spacing w:line="0" w:lineRule="atLeast"/>
              <w:jc w:val="center"/>
              <w:rPr>
                <w:rFonts w:hint="default" w:ascii="Times New Roman" w:hAnsi="Times New Roman" w:eastAsia="仿宋_GB2312" w:cs="Times New Roman"/>
                <w:color w:val="000000"/>
                <w:kern w:val="0"/>
                <w:sz w:val="18"/>
                <w:szCs w:val="18"/>
              </w:rPr>
            </w:pPr>
          </w:p>
          <w:p w14:paraId="1EE3D6F6">
            <w:pPr>
              <w:spacing w:line="0" w:lineRule="atLeast"/>
              <w:jc w:val="center"/>
              <w:rPr>
                <w:rFonts w:hint="default" w:ascii="Times New Roman" w:hAnsi="Times New Roman" w:eastAsia="仿宋_GB2312" w:cs="Times New Roman"/>
                <w:color w:val="000000"/>
                <w:kern w:val="0"/>
                <w:sz w:val="18"/>
                <w:szCs w:val="18"/>
              </w:rPr>
            </w:pPr>
          </w:p>
          <w:p w14:paraId="511F5E29">
            <w:pPr>
              <w:spacing w:line="0" w:lineRule="atLeast"/>
              <w:jc w:val="center"/>
              <w:rPr>
                <w:rFonts w:hint="default" w:ascii="Times New Roman" w:hAnsi="Times New Roman" w:eastAsia="仿宋_GB2312" w:cs="Times New Roman"/>
                <w:color w:val="000000"/>
                <w:kern w:val="0"/>
                <w:sz w:val="18"/>
                <w:szCs w:val="18"/>
              </w:rPr>
            </w:pPr>
          </w:p>
          <w:p w14:paraId="4997CA3F">
            <w:pPr>
              <w:spacing w:line="0" w:lineRule="atLeast"/>
              <w:jc w:val="center"/>
              <w:rPr>
                <w:rFonts w:hint="default" w:ascii="Times New Roman" w:hAnsi="Times New Roman" w:eastAsia="仿宋_GB2312" w:cs="Times New Roman"/>
                <w:color w:val="000000"/>
                <w:kern w:val="0"/>
                <w:sz w:val="18"/>
                <w:szCs w:val="18"/>
              </w:rPr>
            </w:pPr>
          </w:p>
          <w:p w14:paraId="2447CA6E">
            <w:pPr>
              <w:spacing w:line="0" w:lineRule="atLeast"/>
              <w:jc w:val="center"/>
              <w:rPr>
                <w:rFonts w:hint="default" w:ascii="Times New Roman" w:hAnsi="Times New Roman" w:eastAsia="仿宋_GB2312" w:cs="Times New Roman"/>
                <w:color w:val="000000"/>
                <w:kern w:val="0"/>
                <w:sz w:val="18"/>
                <w:szCs w:val="18"/>
              </w:rPr>
            </w:pPr>
          </w:p>
          <w:p w14:paraId="6D585777">
            <w:pPr>
              <w:spacing w:line="0" w:lineRule="atLeast"/>
              <w:jc w:val="center"/>
              <w:rPr>
                <w:rFonts w:hint="default" w:ascii="Times New Roman" w:hAnsi="Times New Roman" w:eastAsia="仿宋_GB2312" w:cs="Times New Roman"/>
                <w:color w:val="000000"/>
                <w:kern w:val="0"/>
                <w:sz w:val="18"/>
                <w:szCs w:val="18"/>
              </w:rPr>
            </w:pPr>
          </w:p>
          <w:p w14:paraId="47B56C42">
            <w:pPr>
              <w:spacing w:line="0" w:lineRule="atLeast"/>
              <w:jc w:val="center"/>
              <w:rPr>
                <w:rFonts w:hint="default" w:ascii="Times New Roman" w:hAnsi="Times New Roman" w:eastAsia="仿宋_GB2312" w:cs="Times New Roman"/>
                <w:color w:val="000000"/>
                <w:kern w:val="0"/>
                <w:sz w:val="18"/>
                <w:szCs w:val="18"/>
              </w:rPr>
            </w:pPr>
          </w:p>
          <w:p w14:paraId="2BD5F36B">
            <w:pPr>
              <w:spacing w:line="0" w:lineRule="atLeast"/>
              <w:jc w:val="center"/>
              <w:rPr>
                <w:rFonts w:hint="default" w:ascii="Times New Roman" w:hAnsi="Times New Roman" w:eastAsia="仿宋_GB2312" w:cs="Times New Roman"/>
                <w:color w:val="000000"/>
                <w:kern w:val="0"/>
                <w:sz w:val="18"/>
                <w:szCs w:val="18"/>
              </w:rPr>
            </w:pPr>
          </w:p>
          <w:p w14:paraId="2F534E98">
            <w:pPr>
              <w:spacing w:line="0" w:lineRule="atLeast"/>
              <w:jc w:val="center"/>
              <w:rPr>
                <w:rFonts w:hint="default" w:ascii="Times New Roman" w:hAnsi="Times New Roman" w:eastAsia="仿宋_GB2312" w:cs="Times New Roman"/>
                <w:color w:val="000000"/>
                <w:kern w:val="0"/>
                <w:sz w:val="18"/>
                <w:szCs w:val="18"/>
              </w:rPr>
            </w:pPr>
          </w:p>
          <w:p w14:paraId="0508E561">
            <w:pPr>
              <w:spacing w:line="0" w:lineRule="atLeast"/>
              <w:jc w:val="center"/>
              <w:rPr>
                <w:rFonts w:hint="default" w:ascii="Times New Roman" w:hAnsi="Times New Roman" w:eastAsia="仿宋_GB2312" w:cs="Times New Roman"/>
                <w:color w:val="000000"/>
                <w:kern w:val="0"/>
                <w:sz w:val="18"/>
                <w:szCs w:val="18"/>
              </w:rPr>
            </w:pPr>
          </w:p>
          <w:p w14:paraId="24DF7CB7">
            <w:pPr>
              <w:spacing w:line="0" w:lineRule="atLeast"/>
              <w:jc w:val="center"/>
              <w:rPr>
                <w:rFonts w:hint="default" w:ascii="Times New Roman" w:hAnsi="Times New Roman" w:eastAsia="仿宋_GB2312" w:cs="Times New Roman"/>
                <w:color w:val="000000"/>
                <w:kern w:val="0"/>
                <w:sz w:val="18"/>
                <w:szCs w:val="18"/>
              </w:rPr>
            </w:pPr>
          </w:p>
          <w:p w14:paraId="5E9D8A70">
            <w:pPr>
              <w:spacing w:line="0" w:lineRule="atLeast"/>
              <w:jc w:val="center"/>
              <w:rPr>
                <w:rFonts w:hint="default" w:ascii="Times New Roman" w:hAnsi="Times New Roman" w:eastAsia="仿宋_GB2312" w:cs="Times New Roman"/>
                <w:color w:val="000000"/>
                <w:kern w:val="0"/>
                <w:sz w:val="18"/>
                <w:szCs w:val="18"/>
              </w:rPr>
            </w:pPr>
          </w:p>
          <w:p w14:paraId="78583EEA">
            <w:pPr>
              <w:spacing w:line="0" w:lineRule="atLeast"/>
              <w:jc w:val="center"/>
              <w:rPr>
                <w:rFonts w:hint="default" w:ascii="Times New Roman" w:hAnsi="Times New Roman" w:eastAsia="仿宋_GB2312" w:cs="Times New Roman"/>
                <w:color w:val="000000"/>
                <w:kern w:val="0"/>
                <w:sz w:val="18"/>
                <w:szCs w:val="18"/>
              </w:rPr>
            </w:pPr>
          </w:p>
          <w:p w14:paraId="67ACA92F">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6CAC510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4" w:type="pct"/>
            <w:vMerge w:val="restart"/>
            <w:shd w:val="clear" w:color="auto" w:fill="FFFFFF"/>
            <w:vAlign w:val="center"/>
          </w:tcPr>
          <w:p w14:paraId="275D1AE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14:paraId="3460F39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80" w:type="pct"/>
            <w:shd w:val="clear" w:color="000000" w:fill="FFFFFF"/>
            <w:vAlign w:val="center"/>
          </w:tcPr>
          <w:p w14:paraId="3246316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14:paraId="2BF54E2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32C8FBB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487D6FA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12" w:type="pct"/>
            <w:shd w:val="clear" w:color="000000" w:fill="FFFFFF"/>
            <w:vAlign w:val="center"/>
          </w:tcPr>
          <w:p w14:paraId="6417B59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14548AC0">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33D7E1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14:paraId="28674A69">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568760A6">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06AF5FE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680" w:type="pct"/>
            <w:shd w:val="clear" w:color="auto" w:fill="FFFFFF"/>
            <w:vAlign w:val="center"/>
          </w:tcPr>
          <w:p w14:paraId="66010B8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55" w:type="pct"/>
            <w:shd w:val="clear" w:color="auto" w:fill="FFFFFF"/>
            <w:vAlign w:val="center"/>
          </w:tcPr>
          <w:p w14:paraId="68D7802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12" w:type="pct"/>
            <w:shd w:val="clear" w:color="auto" w:fill="FFFFFF"/>
            <w:vAlign w:val="center"/>
          </w:tcPr>
          <w:p w14:paraId="4C50CB0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4F449C24">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7022B5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0A735504">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0A08222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14:paraId="7BDBF98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416E814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80" w:type="pct"/>
            <w:shd w:val="clear" w:color="000000" w:fill="FFFFFF"/>
            <w:vAlign w:val="center"/>
          </w:tcPr>
          <w:p w14:paraId="0488B96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14:paraId="52D8D98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512" w:type="pct"/>
            <w:shd w:val="clear" w:color="000000" w:fill="FFFFFF"/>
            <w:vAlign w:val="center"/>
          </w:tcPr>
          <w:p w14:paraId="389526A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3066FCEA">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0E4C40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14:paraId="2BB501AA">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14:paraId="1D611C2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3FEA5B97">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14:paraId="13AC79E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6199A8F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80" w:type="pct"/>
            <w:shd w:val="clear" w:color="000000" w:fill="FFFFFF"/>
            <w:vAlign w:val="center"/>
          </w:tcPr>
          <w:p w14:paraId="138CB78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14:paraId="1F98F17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12" w:type="pct"/>
            <w:shd w:val="clear" w:color="000000" w:fill="FFFFFF"/>
            <w:vAlign w:val="center"/>
          </w:tcPr>
          <w:p w14:paraId="15639BC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284B8CC9">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7EF7F3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14:paraId="7CB30F56">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2042270E">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4DB0A56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771945E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680" w:type="pct"/>
            <w:shd w:val="clear" w:color="000000" w:fill="FFFFFF"/>
            <w:vAlign w:val="center"/>
          </w:tcPr>
          <w:p w14:paraId="75F787D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55" w:type="pct"/>
            <w:shd w:val="clear" w:color="000000" w:fill="FFFFFF"/>
            <w:vAlign w:val="center"/>
          </w:tcPr>
          <w:p w14:paraId="159DDA1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12" w:type="pct"/>
            <w:shd w:val="clear" w:color="000000" w:fill="FFFFFF"/>
            <w:vAlign w:val="center"/>
          </w:tcPr>
          <w:p w14:paraId="57AFA87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4AA76BA0">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7E06F3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14:paraId="538D6AA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94" w:type="pct"/>
            <w:shd w:val="clear" w:color="auto" w:fill="FFFFFF"/>
            <w:vAlign w:val="center"/>
          </w:tcPr>
          <w:p w14:paraId="798C51C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22" w:type="pct"/>
            <w:shd w:val="clear" w:color="auto" w:fill="FFFFFF"/>
            <w:vAlign w:val="center"/>
          </w:tcPr>
          <w:p w14:paraId="4FD4F1C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80" w:type="pct"/>
            <w:shd w:val="clear" w:color="000000" w:fill="FFFFFF"/>
            <w:vAlign w:val="center"/>
          </w:tcPr>
          <w:p w14:paraId="2506766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14:paraId="2982BE8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14:paraId="26F3A0E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5C87FB9C">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14:paraId="7DB49E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14:paraId="0ECEC549">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3B4A805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22" w:type="pct"/>
            <w:shd w:val="clear" w:color="auto" w:fill="FFFFFF"/>
            <w:vAlign w:val="center"/>
          </w:tcPr>
          <w:p w14:paraId="0BC799C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80" w:type="pct"/>
            <w:shd w:val="clear" w:color="000000" w:fill="FFFFFF"/>
            <w:vAlign w:val="center"/>
          </w:tcPr>
          <w:p w14:paraId="7D894C8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14:paraId="56537C4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6230846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026D069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2D2CD2FB">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14:paraId="638108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14:paraId="3FC1AE29">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4878B68B">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22" w:type="pct"/>
            <w:shd w:val="clear" w:color="auto" w:fill="FFFFFF"/>
            <w:vAlign w:val="center"/>
          </w:tcPr>
          <w:p w14:paraId="0D3D95B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80" w:type="pct"/>
            <w:shd w:val="clear" w:color="000000" w:fill="FFFFFF"/>
            <w:vAlign w:val="center"/>
          </w:tcPr>
          <w:p w14:paraId="633D627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14:paraId="060CF48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12" w:type="pct"/>
            <w:shd w:val="clear" w:color="000000" w:fill="FFFFFF"/>
            <w:vAlign w:val="center"/>
          </w:tcPr>
          <w:p w14:paraId="5B0263C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09F28BDC">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14:paraId="4E8546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7DE418BA">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148161C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22" w:type="pct"/>
            <w:shd w:val="clear" w:color="auto" w:fill="FFFFFF"/>
            <w:vAlign w:val="center"/>
          </w:tcPr>
          <w:p w14:paraId="1357E2D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680" w:type="pct"/>
            <w:shd w:val="clear" w:color="000000" w:fill="FFFFFF"/>
            <w:vAlign w:val="center"/>
          </w:tcPr>
          <w:p w14:paraId="7300D9A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14:paraId="03B6373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512" w:type="pct"/>
            <w:shd w:val="clear" w:color="000000" w:fill="FFFFFF"/>
            <w:vAlign w:val="center"/>
          </w:tcPr>
          <w:p w14:paraId="114A978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6EC6E7D8">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14:paraId="2785D1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14:paraId="46E1352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94" w:type="pct"/>
            <w:vMerge w:val="restart"/>
            <w:shd w:val="clear" w:color="auto" w:fill="FFFFFF"/>
            <w:vAlign w:val="center"/>
          </w:tcPr>
          <w:p w14:paraId="0850F31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422" w:type="pct"/>
            <w:shd w:val="clear" w:color="auto" w:fill="FFFFFF"/>
            <w:vAlign w:val="center"/>
          </w:tcPr>
          <w:p w14:paraId="07E44AA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80" w:type="pct"/>
            <w:shd w:val="clear" w:color="auto" w:fill="FFFFFF"/>
            <w:vAlign w:val="center"/>
          </w:tcPr>
          <w:p w14:paraId="78449E55">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55" w:type="pct"/>
            <w:shd w:val="clear" w:color="auto" w:fill="FFFFFF"/>
            <w:vAlign w:val="center"/>
          </w:tcPr>
          <w:p w14:paraId="1903CA1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14:paraId="11AE3AB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auto" w:fill="FFFFFF"/>
            <w:vAlign w:val="center"/>
          </w:tcPr>
          <w:p w14:paraId="2A7DC810">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14:paraId="0AFE28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14:paraId="372A00BD">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6C8D7F90">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28058AD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680" w:type="pct"/>
            <w:shd w:val="clear" w:color="000000" w:fill="FFFFFF"/>
            <w:vAlign w:val="center"/>
          </w:tcPr>
          <w:p w14:paraId="419CD3D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55" w:type="pct"/>
            <w:shd w:val="clear" w:color="000000" w:fill="FFFFFF"/>
            <w:vAlign w:val="center"/>
          </w:tcPr>
          <w:p w14:paraId="25EC9FF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14:paraId="5E1288B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5C61767D">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bl>
    <w:p w14:paraId="1526D03B">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5FF14BF5">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b/>
          <w:bCs/>
          <w:i w:val="0"/>
          <w:iCs w:val="0"/>
          <w:color w:val="000000"/>
          <w:kern w:val="0"/>
          <w:sz w:val="32"/>
          <w:szCs w:val="32"/>
          <w:u w:val="none"/>
          <w:lang w:val="en-US" w:eastAsia="zh-CN" w:bidi="ar"/>
        </w:rPr>
      </w:pPr>
      <w:r>
        <w:rPr>
          <w:rFonts w:hint="eastAsia" w:ascii="黑体" w:hAnsi="黑体" w:eastAsia="黑体" w:cs="黑体"/>
          <w:b/>
          <w:bCs/>
          <w:i w:val="0"/>
          <w:iCs w:val="0"/>
          <w:color w:val="000000"/>
          <w:kern w:val="0"/>
          <w:sz w:val="32"/>
          <w:szCs w:val="32"/>
          <w:u w:val="none"/>
          <w:lang w:val="en-US" w:eastAsia="zh-CN" w:bidi="ar"/>
        </w:rPr>
        <w:t>附件2</w:t>
      </w:r>
    </w:p>
    <w:p w14:paraId="7EFB7CA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14:paraId="72C8245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Style w:val="14"/>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89"/>
        <w:gridCol w:w="592"/>
        <w:gridCol w:w="590"/>
        <w:gridCol w:w="1326"/>
        <w:gridCol w:w="941"/>
        <w:gridCol w:w="941"/>
        <w:gridCol w:w="944"/>
        <w:gridCol w:w="941"/>
        <w:gridCol w:w="941"/>
        <w:gridCol w:w="941"/>
        <w:gridCol w:w="941"/>
        <w:gridCol w:w="1131"/>
        <w:gridCol w:w="1006"/>
        <w:gridCol w:w="2347"/>
      </w:tblGrid>
      <w:tr w14:paraId="0E7B2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80" w:hRule="atLeast"/>
        </w:trPr>
        <w:tc>
          <w:tcPr>
            <w:tcW w:w="4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41169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2"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75F477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2024亚欧时装周活动</w:t>
            </w:r>
          </w:p>
        </w:tc>
      </w:tr>
      <w:tr w14:paraId="675B5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C7ED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B3744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新疆维吾尔自治区工业和信息化厅</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B25C3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4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88874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新疆维吾尔自治区工业和信息化厅</w:t>
            </w:r>
          </w:p>
        </w:tc>
      </w:tr>
      <w:tr w14:paraId="0EEA15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44701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C8E9A0">
            <w:pPr>
              <w:jc w:val="cente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098C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7A988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0EA31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C5A37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B5B46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4DB2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2DF502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3A243A">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21F9F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130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212.51</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EE7C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212.51</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B382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212.40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C541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BFBB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99.95%</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109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22D64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1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D43037">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6C209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DDD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212.51</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6C22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212.51</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E58A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212.40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4831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E324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C95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3ABCA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1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4F9A60">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D38B9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F89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899E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BEE4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0727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11CF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8BF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7A1B5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4F96A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756C2A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90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9ED09C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6BE5E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8F5B74">
            <w:pPr>
              <w:jc w:val="center"/>
              <w:rPr>
                <w:rFonts w:hint="eastAsia" w:ascii="宋体" w:hAnsi="宋体" w:eastAsia="宋体" w:cs="宋体"/>
                <w:b/>
                <w:bCs/>
                <w:i w:val="0"/>
                <w:iCs w:val="0"/>
                <w:color w:val="000000"/>
                <w:sz w:val="18"/>
                <w:szCs w:val="18"/>
                <w:u w:val="none"/>
              </w:rPr>
            </w:pP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6F6BC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以“美丽新疆 多彩时尚”为主题，加强设计与市场融合，进一步促进设计师与产业对接，发挥产业孵化作用，助力品牌成长，推动纺织服装产业高质量发展。</w:t>
            </w:r>
          </w:p>
        </w:tc>
        <w:tc>
          <w:tcPr>
            <w:tcW w:w="290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95577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时装周活动汇聚了中国服装设计界顶级设计师和知名模特，共有18位设计师举办了16场时装发布，包括企业品牌发布、专业赛事和高校科研成果展示。时装周还评选了自治区首届旅游酒店职业装设计大赛优秀设计师，分享了亚欧（中国新疆）时尚纺织品流行趋势报告，促成了纺服中心与金顶奖设计师李小燕签约棉纺织产品设计研发推广工作站项目，举办了院校优秀毕业作品展、服饰静态展、品牌对接会以及文旅展销等多种活动，为持续深化亚欧文化交流与合作搭建了良好的载体和平台。</w:t>
            </w:r>
          </w:p>
        </w:tc>
      </w:tr>
      <w:tr w14:paraId="44464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3033B2">
            <w:pPr>
              <w:jc w:val="center"/>
              <w:rPr>
                <w:rFonts w:hint="eastAsia" w:ascii="宋体" w:hAnsi="宋体" w:eastAsia="宋体" w:cs="宋体"/>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752C8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6B889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8180F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C5F40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EAC52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67154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C9534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62061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6474E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32476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EE5F6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D92D1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7F09D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48901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5F90BA">
            <w:pPr>
              <w:jc w:val="center"/>
              <w:rPr>
                <w:rFonts w:hint="eastAsia" w:ascii="宋体" w:hAnsi="宋体" w:eastAsia="宋体" w:cs="宋体"/>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B88E0E">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D880D9">
            <w:pPr>
              <w:jc w:val="center"/>
              <w:rPr>
                <w:rFonts w:hint="eastAsia" w:ascii="宋体" w:hAnsi="宋体" w:eastAsia="宋体" w:cs="宋体"/>
                <w:b/>
                <w:bCs/>
                <w:i w:val="0"/>
                <w:iCs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EB4EBD">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88847D">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089942">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AD1D22">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CCD245">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0EE428">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8F60C">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5C059">
            <w:pPr>
              <w:jc w:val="center"/>
              <w:rPr>
                <w:rFonts w:hint="eastAsia" w:ascii="宋体" w:hAnsi="宋体" w:eastAsia="宋体" w:cs="宋体"/>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F8F329">
            <w:pPr>
              <w:jc w:val="center"/>
              <w:rPr>
                <w:rFonts w:hint="eastAsia" w:ascii="宋体" w:hAnsi="宋体" w:eastAsia="宋体" w:cs="宋体"/>
                <w:b/>
                <w:bCs/>
                <w:i w:val="0"/>
                <w:iCs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7A0300">
            <w:pPr>
              <w:jc w:val="center"/>
              <w:rPr>
                <w:rFonts w:hint="eastAsia" w:ascii="宋体" w:hAnsi="宋体" w:eastAsia="宋体" w:cs="宋体"/>
                <w:b/>
                <w:bCs/>
                <w:i w:val="0"/>
                <w:iCs w:val="0"/>
                <w:color w:val="000000"/>
                <w:sz w:val="18"/>
                <w:szCs w:val="18"/>
                <w:u w:val="none"/>
              </w:rPr>
            </w:pP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78C7D6">
            <w:pPr>
              <w:jc w:val="center"/>
              <w:rPr>
                <w:rFonts w:hint="eastAsia" w:ascii="宋体" w:hAnsi="宋体" w:eastAsia="宋体" w:cs="宋体"/>
                <w:b/>
                <w:bCs/>
                <w:i w:val="0"/>
                <w:iCs w:val="0"/>
                <w:color w:val="000000"/>
                <w:sz w:val="18"/>
                <w:szCs w:val="18"/>
                <w:u w:val="none"/>
              </w:rPr>
            </w:pPr>
          </w:p>
        </w:tc>
      </w:tr>
      <w:tr w14:paraId="00BCB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07078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B9C2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C9E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EDE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发布设计师成果时装秀场次</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211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2B7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&gt;=15场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F89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68A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106.67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B6E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A34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0F1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AC8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49F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6A2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为达到良好宣传效果，对活动场次进行调整</w:t>
            </w:r>
          </w:p>
        </w:tc>
      </w:tr>
      <w:tr w14:paraId="00146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9697A6">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88D38D">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BEF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F50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举办开闭幕式场次</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B98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C63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D86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279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A13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EDA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72D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125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0C3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784D0">
            <w:pPr>
              <w:jc w:val="center"/>
              <w:rPr>
                <w:rFonts w:hint="eastAsia" w:ascii="宋体" w:hAnsi="宋体" w:eastAsia="宋体" w:cs="宋体"/>
                <w:i w:val="0"/>
                <w:iCs w:val="0"/>
                <w:color w:val="000000"/>
                <w:sz w:val="18"/>
                <w:szCs w:val="18"/>
                <w:u w:val="none"/>
              </w:rPr>
            </w:pPr>
          </w:p>
        </w:tc>
      </w:tr>
      <w:tr w14:paraId="27744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4A9AAD">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328142">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2EB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003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宣传发布平台个数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76B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A9C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&gt;=20个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F3E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A32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48A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C3A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360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359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C93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807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活动收到媒体关注，转发数量责增多</w:t>
            </w:r>
          </w:p>
        </w:tc>
      </w:tr>
      <w:tr w14:paraId="01E74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D7F0E6">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444BAA">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44A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B0D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236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8A2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A94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933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2A3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763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08A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FCB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697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4BBBB">
            <w:pPr>
              <w:jc w:val="center"/>
              <w:rPr>
                <w:rFonts w:hint="eastAsia" w:ascii="宋体" w:hAnsi="宋体" w:eastAsia="宋体" w:cs="宋体"/>
                <w:i w:val="0"/>
                <w:iCs w:val="0"/>
                <w:color w:val="000000"/>
                <w:sz w:val="18"/>
                <w:szCs w:val="18"/>
                <w:u w:val="none"/>
              </w:rPr>
            </w:pPr>
          </w:p>
        </w:tc>
      </w:tr>
      <w:tr w14:paraId="3C1CE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17A8C5">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8D3EA0">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B15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23E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活动按期完成率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52C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6B4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839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8A4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6F8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9D6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EE2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E41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CA7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5ADCA">
            <w:pPr>
              <w:jc w:val="center"/>
              <w:rPr>
                <w:rFonts w:hint="eastAsia" w:ascii="宋体" w:hAnsi="宋体" w:eastAsia="宋体" w:cs="宋体"/>
                <w:i w:val="0"/>
                <w:iCs w:val="0"/>
                <w:color w:val="000000"/>
                <w:sz w:val="18"/>
                <w:szCs w:val="18"/>
                <w:u w:val="none"/>
              </w:rPr>
            </w:pPr>
          </w:p>
        </w:tc>
      </w:tr>
      <w:tr w14:paraId="2568E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209A35">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6CD0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3A6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A0F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2024亚欧时装周发布秀系列活动费用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EB1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D67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&lt;=197.81万元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906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=197.81万元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BDE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F57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5A4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AFD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855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B21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EBE9D">
            <w:pPr>
              <w:jc w:val="center"/>
              <w:rPr>
                <w:rFonts w:hint="eastAsia" w:ascii="宋体" w:hAnsi="宋体" w:eastAsia="宋体" w:cs="宋体"/>
                <w:i w:val="0"/>
                <w:iCs w:val="0"/>
                <w:color w:val="000000"/>
                <w:sz w:val="18"/>
                <w:szCs w:val="18"/>
                <w:u w:val="none"/>
              </w:rPr>
            </w:pPr>
          </w:p>
        </w:tc>
      </w:tr>
      <w:tr w14:paraId="3AF9D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0D0CC">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97408A">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EBC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A82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2024亚欧时装周宣传费用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49E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820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&lt;=14.70万元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EA4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=14.7万元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A17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547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1886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E80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A65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3C1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DB08D">
            <w:pPr>
              <w:jc w:val="center"/>
              <w:rPr>
                <w:rFonts w:hint="eastAsia" w:ascii="宋体" w:hAnsi="宋体" w:eastAsia="宋体" w:cs="宋体"/>
                <w:i w:val="0"/>
                <w:iCs w:val="0"/>
                <w:color w:val="000000"/>
                <w:sz w:val="18"/>
                <w:szCs w:val="18"/>
                <w:u w:val="none"/>
              </w:rPr>
            </w:pPr>
          </w:p>
        </w:tc>
      </w:tr>
      <w:tr w14:paraId="215BF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B81A5F">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1B256F">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7F3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BEFB6">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95B3F">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AC183">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2AA9B">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9A672">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E6613">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ABCEA">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0480D">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EACE6">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AAF8F">
            <w:pPr>
              <w:jc w:val="cente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ED3FF">
            <w:pPr>
              <w:jc w:val="center"/>
              <w:rPr>
                <w:rFonts w:hint="eastAsia" w:ascii="宋体" w:hAnsi="宋体" w:eastAsia="宋体" w:cs="宋体"/>
                <w:i w:val="0"/>
                <w:iCs w:val="0"/>
                <w:color w:val="000000"/>
                <w:sz w:val="18"/>
                <w:szCs w:val="18"/>
                <w:u w:val="none"/>
              </w:rPr>
            </w:pPr>
          </w:p>
        </w:tc>
      </w:tr>
      <w:tr w14:paraId="03D56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A7A032">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6678BE">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5AA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DF693">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160EB">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64836">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62ADA">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70BF3">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08E8A">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865EA">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038F7">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87AEC">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F2090">
            <w:pPr>
              <w:jc w:val="cente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EE9BD">
            <w:pPr>
              <w:jc w:val="center"/>
              <w:rPr>
                <w:rFonts w:hint="eastAsia" w:ascii="宋体" w:hAnsi="宋体" w:eastAsia="宋体" w:cs="宋体"/>
                <w:i w:val="0"/>
                <w:iCs w:val="0"/>
                <w:color w:val="000000"/>
                <w:sz w:val="18"/>
                <w:szCs w:val="18"/>
                <w:u w:val="none"/>
              </w:rPr>
            </w:pPr>
          </w:p>
        </w:tc>
      </w:tr>
      <w:tr w14:paraId="487F2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405AE9">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2CB1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83C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AE1D4">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2028E">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55447">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E9611">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F64FE">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C30A4">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70FD0">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F1BD7">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CA1EA">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47F84">
            <w:pPr>
              <w:jc w:val="cente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932ED">
            <w:pPr>
              <w:jc w:val="center"/>
              <w:rPr>
                <w:rFonts w:hint="eastAsia" w:ascii="宋体" w:hAnsi="宋体" w:eastAsia="宋体" w:cs="宋体"/>
                <w:i w:val="0"/>
                <w:iCs w:val="0"/>
                <w:color w:val="000000"/>
                <w:sz w:val="18"/>
                <w:szCs w:val="18"/>
                <w:u w:val="none"/>
              </w:rPr>
            </w:pPr>
          </w:p>
        </w:tc>
      </w:tr>
      <w:tr w14:paraId="6E547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03660">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D87971">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701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972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助力品牌成长，推动产业发展</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BA8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C44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进一步推动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57F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进一步推动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FD3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FDB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323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FCB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EB8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693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772A7">
            <w:pPr>
              <w:jc w:val="center"/>
              <w:rPr>
                <w:rFonts w:hint="eastAsia" w:ascii="宋体" w:hAnsi="宋体" w:eastAsia="宋体" w:cs="宋体"/>
                <w:i w:val="0"/>
                <w:iCs w:val="0"/>
                <w:color w:val="000000"/>
                <w:sz w:val="18"/>
                <w:szCs w:val="18"/>
                <w:u w:val="none"/>
              </w:rPr>
            </w:pPr>
          </w:p>
        </w:tc>
      </w:tr>
      <w:tr w14:paraId="226D5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9E238">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85145F">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AED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00EE7">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6E9F2">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AD712">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3A498">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32AF6">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A95B4">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9C30F">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CF2A6">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98AFE">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55F4A">
            <w:pPr>
              <w:jc w:val="cente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19F47">
            <w:pPr>
              <w:jc w:val="center"/>
              <w:rPr>
                <w:rFonts w:hint="eastAsia" w:ascii="宋体" w:hAnsi="宋体" w:eastAsia="宋体" w:cs="宋体"/>
                <w:i w:val="0"/>
                <w:iCs w:val="0"/>
                <w:color w:val="000000"/>
                <w:sz w:val="18"/>
                <w:szCs w:val="18"/>
                <w:u w:val="none"/>
              </w:rPr>
            </w:pPr>
          </w:p>
        </w:tc>
      </w:tr>
      <w:tr w14:paraId="37C7D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0526CE">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7E9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082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889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参加人员满意度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E84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0FD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05A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42F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120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90C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332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087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547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73165">
            <w:pPr>
              <w:jc w:val="center"/>
              <w:rPr>
                <w:rFonts w:hint="eastAsia" w:ascii="宋体" w:hAnsi="宋体" w:eastAsia="宋体" w:cs="宋体"/>
                <w:i w:val="0"/>
                <w:iCs w:val="0"/>
                <w:color w:val="000000"/>
                <w:sz w:val="18"/>
                <w:szCs w:val="18"/>
                <w:u w:val="none"/>
              </w:rPr>
            </w:pPr>
          </w:p>
        </w:tc>
      </w:tr>
      <w:tr w14:paraId="6CCE8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93" w:type="pct"/>
            <w:gridSpan w:val="4"/>
            <w:tcBorders>
              <w:top w:val="single" w:color="000000" w:sz="4" w:space="0"/>
              <w:left w:val="single" w:color="000000" w:sz="4" w:space="0"/>
              <w:bottom w:val="single" w:color="000000" w:sz="4" w:space="0"/>
              <w:right w:val="nil"/>
            </w:tcBorders>
            <w:shd w:val="clear" w:color="auto" w:fill="auto"/>
            <w:vAlign w:val="center"/>
          </w:tcPr>
          <w:p w14:paraId="1004C03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8C5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0DE82D61">
            <w:pP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FD330">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93947">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829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96.83分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84453">
            <w:pP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5896A">
            <w:pP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0E17E">
            <w:pP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7E02F">
            <w:pP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57349">
            <w:pPr>
              <w:rPr>
                <w:rFonts w:hint="eastAsia" w:ascii="宋体" w:hAnsi="宋体" w:eastAsia="宋体" w:cs="宋体"/>
                <w:i w:val="0"/>
                <w:iCs w:val="0"/>
                <w:color w:val="000000"/>
                <w:sz w:val="18"/>
                <w:szCs w:val="18"/>
                <w:u w:val="none"/>
              </w:rPr>
            </w:pPr>
          </w:p>
        </w:tc>
      </w:tr>
    </w:tbl>
    <w:p w14:paraId="51870EB3">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东文宋体">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636ED2AA">
        <w:pPr>
          <w:pStyle w:val="7"/>
          <w:jc w:val="center"/>
        </w:pPr>
        <w:r>
          <w:fldChar w:fldCharType="begin"/>
        </w:r>
        <w:r>
          <w:instrText xml:space="preserve">PAGE   \* MERGEFORMAT</w:instrText>
        </w:r>
        <w:r>
          <w:fldChar w:fldCharType="separate"/>
        </w:r>
        <w:r>
          <w:rPr>
            <w:lang w:val="zh-CN"/>
          </w:rPr>
          <w:t>13</w:t>
        </w:r>
        <w:r>
          <w:fldChar w:fldCharType="end"/>
        </w:r>
      </w:p>
    </w:sdtContent>
  </w:sdt>
  <w:p w14:paraId="308FDA8B">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7397B77"/>
    <w:rsid w:val="0AD007F3"/>
    <w:rsid w:val="0E3C619F"/>
    <w:rsid w:val="11170296"/>
    <w:rsid w:val="13471461"/>
    <w:rsid w:val="13B90F01"/>
    <w:rsid w:val="155E4C4D"/>
    <w:rsid w:val="17462648"/>
    <w:rsid w:val="180111B2"/>
    <w:rsid w:val="181066D2"/>
    <w:rsid w:val="1C517815"/>
    <w:rsid w:val="1C671E73"/>
    <w:rsid w:val="1D1125A5"/>
    <w:rsid w:val="1D322C47"/>
    <w:rsid w:val="20F16847"/>
    <w:rsid w:val="23616034"/>
    <w:rsid w:val="23D4607E"/>
    <w:rsid w:val="24480FA2"/>
    <w:rsid w:val="25227A45"/>
    <w:rsid w:val="25284930"/>
    <w:rsid w:val="26AC3A6A"/>
    <w:rsid w:val="281178FD"/>
    <w:rsid w:val="2B9D7E25"/>
    <w:rsid w:val="2C7C7A3B"/>
    <w:rsid w:val="2EFC0D68"/>
    <w:rsid w:val="2F364819"/>
    <w:rsid w:val="2FD63906"/>
    <w:rsid w:val="37215DAE"/>
    <w:rsid w:val="37FDA2EF"/>
    <w:rsid w:val="386C5A37"/>
    <w:rsid w:val="38CA40DD"/>
    <w:rsid w:val="395F2B56"/>
    <w:rsid w:val="3BBA0580"/>
    <w:rsid w:val="3BECE841"/>
    <w:rsid w:val="3CDE204C"/>
    <w:rsid w:val="3D363C36"/>
    <w:rsid w:val="3E9C3F6D"/>
    <w:rsid w:val="3EBA2645"/>
    <w:rsid w:val="3FF7797D"/>
    <w:rsid w:val="46690BD8"/>
    <w:rsid w:val="49F70BF1"/>
    <w:rsid w:val="4B4340EE"/>
    <w:rsid w:val="4BF06537"/>
    <w:rsid w:val="4F5F9E83"/>
    <w:rsid w:val="503D507A"/>
    <w:rsid w:val="51FA74D0"/>
    <w:rsid w:val="52872E8D"/>
    <w:rsid w:val="52AA4A52"/>
    <w:rsid w:val="59943D66"/>
    <w:rsid w:val="59E051FD"/>
    <w:rsid w:val="59E6355E"/>
    <w:rsid w:val="5B821531"/>
    <w:rsid w:val="5BFF6039"/>
    <w:rsid w:val="5D76A616"/>
    <w:rsid w:val="5D7F20B9"/>
    <w:rsid w:val="5DAC7D0E"/>
    <w:rsid w:val="5EEE47D3"/>
    <w:rsid w:val="5F98B5AF"/>
    <w:rsid w:val="5FD936E5"/>
    <w:rsid w:val="5FFE8511"/>
    <w:rsid w:val="5FFEACE2"/>
    <w:rsid w:val="609D5BF6"/>
    <w:rsid w:val="61073070"/>
    <w:rsid w:val="61B9080E"/>
    <w:rsid w:val="61DF3FED"/>
    <w:rsid w:val="642B176B"/>
    <w:rsid w:val="643EE26D"/>
    <w:rsid w:val="652D7C77"/>
    <w:rsid w:val="656019A0"/>
    <w:rsid w:val="65F242EE"/>
    <w:rsid w:val="666D7E19"/>
    <w:rsid w:val="68376930"/>
    <w:rsid w:val="68F91E38"/>
    <w:rsid w:val="69767E03"/>
    <w:rsid w:val="6B3158B9"/>
    <w:rsid w:val="6B9DB13B"/>
    <w:rsid w:val="6BA02A3F"/>
    <w:rsid w:val="6C1E5A53"/>
    <w:rsid w:val="6DD20F3C"/>
    <w:rsid w:val="6DEBE890"/>
    <w:rsid w:val="6F1A9836"/>
    <w:rsid w:val="6F5C41AC"/>
    <w:rsid w:val="6FAF6C78"/>
    <w:rsid w:val="6FF7C552"/>
    <w:rsid w:val="716167CC"/>
    <w:rsid w:val="718A7AD1"/>
    <w:rsid w:val="72A44BC2"/>
    <w:rsid w:val="72FE9C41"/>
    <w:rsid w:val="7317C656"/>
    <w:rsid w:val="734ED73F"/>
    <w:rsid w:val="73C82B32"/>
    <w:rsid w:val="73F94DAE"/>
    <w:rsid w:val="74220495"/>
    <w:rsid w:val="747D1B6F"/>
    <w:rsid w:val="749E5641"/>
    <w:rsid w:val="76271066"/>
    <w:rsid w:val="776FF713"/>
    <w:rsid w:val="77FD8BE9"/>
    <w:rsid w:val="78000AED"/>
    <w:rsid w:val="79A9BD3F"/>
    <w:rsid w:val="7B776F12"/>
    <w:rsid w:val="7BFFFDD0"/>
    <w:rsid w:val="7C336E5F"/>
    <w:rsid w:val="7C8D4919"/>
    <w:rsid w:val="7D7A5F86"/>
    <w:rsid w:val="7DDFA02D"/>
    <w:rsid w:val="7DEA3235"/>
    <w:rsid w:val="7DF7200B"/>
    <w:rsid w:val="7E4B683A"/>
    <w:rsid w:val="7E5E656D"/>
    <w:rsid w:val="7E8F2BCB"/>
    <w:rsid w:val="7F37BB4E"/>
    <w:rsid w:val="7FEF918E"/>
    <w:rsid w:val="7FF4FB6F"/>
    <w:rsid w:val="7FF7FF27"/>
    <w:rsid w:val="7FFDF714"/>
    <w:rsid w:val="AF3FCD8C"/>
    <w:rsid w:val="B9FA2A43"/>
    <w:rsid w:val="BEEF4656"/>
    <w:rsid w:val="BF754107"/>
    <w:rsid w:val="BF7BA1E4"/>
    <w:rsid w:val="BFCF0977"/>
    <w:rsid w:val="BFDF04FA"/>
    <w:rsid w:val="BFE227EF"/>
    <w:rsid w:val="CF2A1ABD"/>
    <w:rsid w:val="DA7D3CD9"/>
    <w:rsid w:val="DBD79615"/>
    <w:rsid w:val="DBDC0ADA"/>
    <w:rsid w:val="DEDE2B06"/>
    <w:rsid w:val="E7773746"/>
    <w:rsid w:val="EBFA31C2"/>
    <w:rsid w:val="F3F4A11B"/>
    <w:rsid w:val="F6DE65CA"/>
    <w:rsid w:val="F9FD7907"/>
    <w:rsid w:val="FAEF933D"/>
    <w:rsid w:val="FB3A4A6A"/>
    <w:rsid w:val="FF6C4049"/>
    <w:rsid w:val="FF78F63F"/>
    <w:rsid w:val="FF8D2000"/>
    <w:rsid w:val="FFD5F2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annotation text"/>
    <w:basedOn w:val="1"/>
    <w:link w:val="22"/>
    <w:qFormat/>
    <w:uiPriority w:val="0"/>
    <w:pPr>
      <w:jc w:val="left"/>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4"/>
    <w:next w:val="4"/>
    <w:link w:val="23"/>
    <w:qFormat/>
    <w:uiPriority w:val="0"/>
    <w:rPr>
      <w:b/>
      <w:bCs/>
    </w:rPr>
  </w:style>
  <w:style w:type="paragraph" w:styleId="12">
    <w:name w:val="Body Text First Indent"/>
    <w:basedOn w:val="2"/>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28</Pages>
  <Words>9432</Words>
  <Characters>9732</Characters>
  <Lines>58</Lines>
  <Paragraphs>16</Paragraphs>
  <TotalTime>24</TotalTime>
  <ScaleCrop>false</ScaleCrop>
  <LinksUpToDate>false</LinksUpToDate>
  <CharactersWithSpaces>9756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2023-03-10T13:13:00Z</dcterms:created>
  <dc:creator>审核人</dc:creator>
  <cp:lastModifiedBy>Slivia</cp:lastModifiedBy>
  <dcterms:modified xsi:type="dcterms:W3CDTF">2025-08-27T10:05:48Z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0AA80D8273D44B4FBE64CD8139EE4EB7_13</vt:lpwstr>
  </property>
  <property fmtid="{D5CDD505-2E9C-101B-9397-08002B2CF9AE}" pid="4" name="KSOTemplateDocerSaveRecord">
    <vt:lpwstr>eyJoZGlkIjoiZGM4Y2ExNDA0MjdkYTk1NTY2NzM4YTExNWYxN2IxZmMiLCJ1c2VySWQiOiIzMjM2NTI0MzUifQ==</vt:lpwstr>
  </property>
</Properties>
</file>