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68426C">
      <w:pPr>
        <w:spacing w:line="540" w:lineRule="exact"/>
        <w:jc w:val="center"/>
        <w:rPr>
          <w:rFonts w:hint="default" w:ascii="Times New Roman" w:hAnsi="Times New Roman" w:eastAsia="华文中宋" w:cs="Times New Roman"/>
          <w:b/>
          <w:kern w:val="0"/>
          <w:sz w:val="52"/>
          <w:szCs w:val="52"/>
        </w:rPr>
      </w:pPr>
    </w:p>
    <w:p w14:paraId="5C948F2C">
      <w:pPr>
        <w:spacing w:line="540" w:lineRule="exact"/>
        <w:rPr>
          <w:rFonts w:hint="default" w:ascii="Times New Roman" w:hAnsi="Times New Roman" w:eastAsia="华文中宋" w:cs="Times New Roman"/>
          <w:b/>
          <w:kern w:val="0"/>
          <w:sz w:val="52"/>
          <w:szCs w:val="52"/>
        </w:rPr>
      </w:pPr>
    </w:p>
    <w:p w14:paraId="2493835E">
      <w:pPr>
        <w:spacing w:line="540" w:lineRule="exact"/>
        <w:jc w:val="center"/>
        <w:rPr>
          <w:rFonts w:hint="eastAsia" w:ascii="方正小标宋_GBK" w:hAnsi="方正小标宋_GBK" w:eastAsia="方正小标宋_GBK" w:cs="方正小标宋_GBK"/>
          <w:b/>
          <w:kern w:val="0"/>
          <w:sz w:val="48"/>
          <w:szCs w:val="48"/>
        </w:rPr>
      </w:pPr>
    </w:p>
    <w:p w14:paraId="587D8D6A">
      <w:pPr>
        <w:spacing w:line="540" w:lineRule="exact"/>
        <w:jc w:val="center"/>
        <w:rPr>
          <w:rFonts w:hint="eastAsia" w:ascii="方正小标宋_GBK" w:hAnsi="方正小标宋_GBK" w:eastAsia="方正小标宋_GBK" w:cs="方正小标宋_GBK"/>
          <w:b/>
          <w:bCs w:val="0"/>
          <w:kern w:val="0"/>
          <w:sz w:val="48"/>
          <w:szCs w:val="48"/>
        </w:rPr>
      </w:pPr>
      <w:r>
        <w:rPr>
          <w:rFonts w:hint="eastAsia" w:ascii="方正小标宋_GBK" w:hAnsi="方正小标宋_GBK" w:eastAsia="方正小标宋_GBK" w:cs="方正小标宋_GBK"/>
          <w:b/>
          <w:bCs w:val="0"/>
          <w:kern w:val="0"/>
          <w:sz w:val="48"/>
          <w:szCs w:val="48"/>
        </w:rPr>
        <w:t>无线电业务运维项目支出</w:t>
      </w:r>
    </w:p>
    <w:p w14:paraId="71F96D86">
      <w:pPr>
        <w:spacing w:line="540" w:lineRule="exact"/>
        <w:jc w:val="center"/>
        <w:rPr>
          <w:rFonts w:hint="eastAsia" w:ascii="方正小标宋_GBK" w:hAnsi="方正小标宋_GBK" w:eastAsia="方正小标宋_GBK" w:cs="方正小标宋_GBK"/>
          <w:b/>
          <w:bCs w:val="0"/>
          <w:kern w:val="0"/>
          <w:sz w:val="48"/>
          <w:szCs w:val="48"/>
        </w:rPr>
      </w:pPr>
      <w:r>
        <w:rPr>
          <w:rFonts w:hint="eastAsia" w:ascii="方正小标宋_GBK" w:hAnsi="方正小标宋_GBK" w:eastAsia="方正小标宋_GBK" w:cs="方正小标宋_GBK"/>
          <w:b/>
          <w:bCs w:val="0"/>
          <w:kern w:val="0"/>
          <w:sz w:val="48"/>
          <w:szCs w:val="48"/>
        </w:rPr>
        <w:t>绩效评价报告</w:t>
      </w:r>
    </w:p>
    <w:p w14:paraId="1D48E6CA">
      <w:pPr>
        <w:spacing w:line="540" w:lineRule="exact"/>
        <w:jc w:val="center"/>
        <w:rPr>
          <w:rFonts w:hint="default" w:ascii="Times New Roman" w:hAnsi="Times New Roman" w:eastAsia="华文中宋" w:cs="Times New Roman"/>
          <w:b/>
          <w:kern w:val="0"/>
          <w:sz w:val="52"/>
          <w:szCs w:val="52"/>
        </w:rPr>
      </w:pPr>
    </w:p>
    <w:p w14:paraId="001DA44F">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14:paraId="501CEC79">
      <w:pPr>
        <w:spacing w:line="540" w:lineRule="exact"/>
        <w:jc w:val="center"/>
        <w:rPr>
          <w:rFonts w:hint="default" w:ascii="Times New Roman" w:hAnsi="Times New Roman" w:eastAsia="仿宋_GB2312" w:cs="Times New Roman"/>
          <w:kern w:val="0"/>
          <w:sz w:val="30"/>
          <w:szCs w:val="30"/>
        </w:rPr>
      </w:pPr>
    </w:p>
    <w:p w14:paraId="44DCF8B3">
      <w:pPr>
        <w:spacing w:line="540" w:lineRule="exact"/>
        <w:jc w:val="center"/>
        <w:rPr>
          <w:rFonts w:hint="default" w:ascii="Times New Roman" w:hAnsi="Times New Roman" w:eastAsia="仿宋_GB2312" w:cs="Times New Roman"/>
          <w:kern w:val="0"/>
          <w:sz w:val="30"/>
          <w:szCs w:val="30"/>
        </w:rPr>
      </w:pPr>
    </w:p>
    <w:p w14:paraId="04461C03">
      <w:pPr>
        <w:spacing w:line="540" w:lineRule="exact"/>
        <w:jc w:val="center"/>
        <w:rPr>
          <w:rFonts w:hint="default" w:ascii="Times New Roman" w:hAnsi="Times New Roman" w:eastAsia="仿宋_GB2312" w:cs="Times New Roman"/>
          <w:kern w:val="0"/>
          <w:sz w:val="30"/>
          <w:szCs w:val="30"/>
        </w:rPr>
      </w:pPr>
    </w:p>
    <w:p w14:paraId="36C6B507">
      <w:pPr>
        <w:pStyle w:val="11"/>
        <w:rPr>
          <w:rFonts w:hint="default" w:ascii="Times New Roman" w:hAnsi="Times New Roman" w:cs="Times New Roman"/>
        </w:rPr>
      </w:pPr>
    </w:p>
    <w:p w14:paraId="55D196A3">
      <w:pPr>
        <w:spacing w:line="540" w:lineRule="exact"/>
        <w:jc w:val="center"/>
        <w:rPr>
          <w:rFonts w:hint="default" w:ascii="Times New Roman" w:hAnsi="Times New Roman" w:eastAsia="仿宋_GB2312" w:cs="Times New Roman"/>
          <w:kern w:val="0"/>
          <w:sz w:val="30"/>
          <w:szCs w:val="30"/>
        </w:rPr>
      </w:pPr>
    </w:p>
    <w:p w14:paraId="7E4458A9">
      <w:pPr>
        <w:spacing w:line="540" w:lineRule="exact"/>
        <w:rPr>
          <w:rFonts w:hint="default" w:ascii="Times New Roman" w:hAnsi="Times New Roman" w:eastAsia="仿宋_GB2312" w:cs="Times New Roman"/>
          <w:kern w:val="0"/>
          <w:sz w:val="30"/>
          <w:szCs w:val="30"/>
        </w:rPr>
      </w:pPr>
    </w:p>
    <w:p w14:paraId="56C7C2BB">
      <w:pPr>
        <w:spacing w:line="700" w:lineRule="exact"/>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项目名称：无线电业务运维项目</w:t>
      </w:r>
    </w:p>
    <w:p w14:paraId="1B2163E9">
      <w:pPr>
        <w:spacing w:line="700" w:lineRule="exact"/>
        <w:jc w:val="left"/>
        <w:rPr>
          <w:rFonts w:hint="default" w:ascii="仿宋_GB2312" w:hAnsi="仿宋_GB2312" w:eastAsia="仿宋_GB2312" w:cs="仿宋_GB2312"/>
          <w:kern w:val="0"/>
          <w:sz w:val="36"/>
          <w:szCs w:val="36"/>
          <w:lang w:val="en-US"/>
        </w:rPr>
      </w:pPr>
      <w:r>
        <w:rPr>
          <w:rFonts w:hint="eastAsia" w:ascii="仿宋_GB2312" w:hAnsi="仿宋_GB2312" w:eastAsia="仿宋_GB2312" w:cs="仿宋_GB2312"/>
          <w:kern w:val="0"/>
          <w:sz w:val="36"/>
          <w:szCs w:val="36"/>
        </w:rPr>
        <w:t>实施单位（公章）：</w:t>
      </w:r>
      <w:r>
        <w:rPr>
          <w:rFonts w:hint="eastAsia" w:ascii="仿宋_GB2312" w:hAnsi="仿宋_GB2312" w:eastAsia="仿宋_GB2312" w:cs="仿宋_GB2312"/>
          <w:kern w:val="0"/>
          <w:sz w:val="36"/>
          <w:szCs w:val="36"/>
          <w:u w:val="none"/>
          <w:lang w:val="en-US" w:eastAsia="zh-CN"/>
        </w:rPr>
        <w:t>伊犁哈萨克自治州无线电管理中心</w:t>
      </w:r>
    </w:p>
    <w:p w14:paraId="1C3E0689">
      <w:pPr>
        <w:spacing w:line="700" w:lineRule="exact"/>
        <w:jc w:val="left"/>
        <w:rPr>
          <w:rFonts w:hint="eastAsia" w:ascii="仿宋_GB2312" w:hAnsi="仿宋_GB2312" w:eastAsia="仿宋_GB2312" w:cs="仿宋_GB2312"/>
          <w:kern w:val="0"/>
          <w:sz w:val="36"/>
          <w:szCs w:val="36"/>
          <w:lang w:val="en-US" w:eastAsia="zh-CN"/>
        </w:rPr>
      </w:pPr>
      <w:r>
        <w:rPr>
          <w:rFonts w:hint="eastAsia" w:ascii="仿宋_GB2312" w:hAnsi="仿宋_GB2312" w:eastAsia="仿宋_GB2312" w:cs="仿宋_GB2312"/>
          <w:kern w:val="0"/>
          <w:sz w:val="36"/>
          <w:szCs w:val="36"/>
        </w:rPr>
        <w:t>项目负责人（签章）：</w:t>
      </w:r>
      <w:r>
        <w:rPr>
          <w:rFonts w:hint="eastAsia" w:ascii="仿宋_GB2312" w:hAnsi="仿宋_GB2312" w:eastAsia="仿宋_GB2312" w:cs="仿宋_GB2312"/>
          <w:kern w:val="0"/>
          <w:sz w:val="36"/>
          <w:szCs w:val="36"/>
          <w:lang w:val="en-US" w:eastAsia="zh-CN"/>
        </w:rPr>
        <w:t>张海鹏</w:t>
      </w:r>
    </w:p>
    <w:p w14:paraId="4F3A2AD9">
      <w:pPr>
        <w:spacing w:line="700" w:lineRule="exact"/>
        <w:jc w:val="left"/>
        <w:rPr>
          <w:rFonts w:hint="default" w:ascii="Times New Roman" w:hAnsi="Times New Roman" w:eastAsia="仿宋_GB2312" w:cs="Times New Roman"/>
          <w:kern w:val="0"/>
          <w:sz w:val="36"/>
          <w:szCs w:val="36"/>
        </w:rPr>
      </w:pPr>
      <w:r>
        <w:rPr>
          <w:rFonts w:hint="eastAsia" w:ascii="仿宋_GB2312" w:hAnsi="仿宋_GB2312" w:eastAsia="仿宋_GB2312" w:cs="仿宋_GB2312"/>
          <w:kern w:val="0"/>
          <w:sz w:val="36"/>
          <w:szCs w:val="36"/>
        </w:rPr>
        <w:t>填报时间：</w:t>
      </w:r>
      <w:r>
        <w:rPr>
          <w:rFonts w:hint="eastAsia" w:ascii="仿宋_GB2312" w:hAnsi="仿宋_GB2312" w:eastAsia="仿宋_GB2312" w:cs="仿宋_GB2312"/>
          <w:kern w:val="0"/>
          <w:sz w:val="36"/>
          <w:szCs w:val="36"/>
          <w:lang w:val="en-US" w:eastAsia="zh-CN"/>
        </w:rPr>
        <w:t>2025</w:t>
      </w:r>
      <w:r>
        <w:rPr>
          <w:rFonts w:hint="eastAsia" w:ascii="仿宋_GB2312" w:hAnsi="仿宋_GB2312" w:eastAsia="仿宋_GB2312" w:cs="仿宋_GB2312"/>
          <w:kern w:val="0"/>
          <w:sz w:val="36"/>
          <w:szCs w:val="36"/>
        </w:rPr>
        <w:t>年</w:t>
      </w:r>
      <w:r>
        <w:rPr>
          <w:rFonts w:hint="eastAsia" w:ascii="仿宋_GB2312" w:hAnsi="仿宋_GB2312" w:eastAsia="仿宋_GB2312" w:cs="仿宋_GB2312"/>
          <w:kern w:val="0"/>
          <w:sz w:val="36"/>
          <w:szCs w:val="36"/>
          <w:lang w:val="en-US" w:eastAsia="zh-CN"/>
        </w:rPr>
        <w:t>3</w:t>
      </w:r>
      <w:r>
        <w:rPr>
          <w:rFonts w:hint="eastAsia" w:ascii="仿宋_GB2312" w:hAnsi="仿宋_GB2312" w:eastAsia="仿宋_GB2312" w:cs="仿宋_GB2312"/>
          <w:kern w:val="0"/>
          <w:sz w:val="36"/>
          <w:szCs w:val="36"/>
        </w:rPr>
        <w:t>月</w:t>
      </w:r>
      <w:r>
        <w:rPr>
          <w:rFonts w:hint="eastAsia" w:ascii="仿宋_GB2312" w:hAnsi="仿宋_GB2312" w:eastAsia="仿宋_GB2312" w:cs="仿宋_GB2312"/>
          <w:kern w:val="0"/>
          <w:sz w:val="36"/>
          <w:szCs w:val="36"/>
          <w:lang w:val="en-US" w:eastAsia="zh-CN"/>
        </w:rPr>
        <w:t>13</w:t>
      </w:r>
      <w:r>
        <w:rPr>
          <w:rFonts w:hint="eastAsia" w:ascii="仿宋_GB2312" w:hAnsi="仿宋_GB2312" w:eastAsia="仿宋_GB2312" w:cs="仿宋_GB2312"/>
          <w:kern w:val="0"/>
          <w:sz w:val="36"/>
          <w:szCs w:val="36"/>
        </w:rPr>
        <w:t>日</w:t>
      </w:r>
    </w:p>
    <w:p w14:paraId="11BCD64A">
      <w:pPr>
        <w:spacing w:line="540" w:lineRule="exact"/>
        <w:jc w:val="center"/>
        <w:rPr>
          <w:rFonts w:hint="default" w:ascii="Times New Roman" w:hAnsi="Times New Roman" w:eastAsia="仿宋_GB2312" w:cs="Times New Roman"/>
          <w:kern w:val="0"/>
          <w:sz w:val="30"/>
          <w:szCs w:val="30"/>
        </w:rPr>
      </w:pPr>
    </w:p>
    <w:p w14:paraId="6C426FCF">
      <w:pPr>
        <w:spacing w:line="540" w:lineRule="exact"/>
        <w:rPr>
          <w:rStyle w:val="17"/>
          <w:rFonts w:hint="default" w:ascii="Times New Roman" w:hAnsi="Times New Roman" w:eastAsia="黑体" w:cs="Times New Roman"/>
          <w:b w:val="0"/>
          <w:spacing w:val="-4"/>
          <w:sz w:val="32"/>
          <w:szCs w:val="32"/>
        </w:rPr>
      </w:pPr>
    </w:p>
    <w:p w14:paraId="7A759A7C">
      <w:pPr>
        <w:spacing w:line="540" w:lineRule="exact"/>
        <w:ind w:firstLine="640"/>
        <w:rPr>
          <w:rStyle w:val="17"/>
          <w:rFonts w:hint="default" w:ascii="Times New Roman" w:hAnsi="Times New Roman" w:eastAsia="黑体" w:cs="Times New Roman"/>
          <w:b w:val="0"/>
          <w:spacing w:val="-4"/>
          <w:sz w:val="32"/>
          <w:szCs w:val="32"/>
        </w:rPr>
      </w:pPr>
    </w:p>
    <w:p w14:paraId="30BD9C05">
      <w:pPr>
        <w:spacing w:line="540" w:lineRule="exact"/>
        <w:rPr>
          <w:rStyle w:val="17"/>
          <w:rFonts w:hint="default" w:ascii="Times New Roman" w:hAnsi="Times New Roman" w:eastAsia="黑体" w:cs="Times New Roman"/>
          <w:b w:val="0"/>
          <w:spacing w:val="-4"/>
          <w:sz w:val="32"/>
          <w:szCs w:val="32"/>
        </w:rPr>
      </w:pPr>
    </w:p>
    <w:p w14:paraId="1B693E78">
      <w:pPr>
        <w:spacing w:line="560" w:lineRule="exact"/>
        <w:ind w:firstLine="640" w:firstLineChars="200"/>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14:paraId="4192EFAD">
      <w:pPr>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14:paraId="4652F207">
      <w:pPr>
        <w:pageBreakBefore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14:paraId="2EF276E4">
      <w:pPr>
        <w:pageBreakBefore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14:paraId="478BD95E">
      <w:pPr>
        <w:pStyle w:val="11"/>
        <w:pageBreakBefore w:val="0"/>
        <w:numPr>
          <w:ilvl w:val="0"/>
          <w:numId w:val="0"/>
        </w:numPr>
        <w:kinsoku/>
        <w:wordWrap/>
        <w:overflowPunct/>
        <w:topLinePunct w:val="0"/>
        <w:autoSpaceDE/>
        <w:autoSpaceDN/>
        <w:bidi w:val="0"/>
        <w:adjustRightInd/>
        <w:snapToGrid/>
        <w:spacing w:before="0" w:after="0" w:line="58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根据新财规〔2023〕7号《关于印发《新疆维吾尔自治区行政事业单位国有资产使用管理办法&gt;的通知》第三十一条“行政单位国有资产出租收入，按照政府非税收入和国库集中收缴制度的有关规定管理。除国家另有规定外，事业单位国有资产出租收入纳入单位预算，统一核算，统一管理”和自治区财政厅《关于开展自治区本级2024年部门预算编制工作的通知》(新财预[2023]43号)文件要求，强化单位资金统筹使用，要统筹单位各项收入编制支出预算，优先使用单位资金安排各项支出，单位资金收入能够满足部门单位支出需要时，不得申请财政拨款预算。对项目支出连续出现较大规模结转、单位资金结余较多的部门单位，压减财政拨款预算。</w:t>
      </w:r>
    </w:p>
    <w:p w14:paraId="7BB8AA4D">
      <w:pPr>
        <w:pageBreakBefore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伊犁哈萨克自治州无线电管理局作为自治区工信厅派驻伊犁州负责无线电管理工作的事业单位，承担着地区无线电台（站）频率的指配、台（站）的建设布局和台址审查、无线电频谱监测及干扰协调、查处等工作，以及服务经济社会发展、服务国防建设、服务党政机关，突出做好重点无线电安全保障工作的职责，无线电监测设施的正常使用和运行尤为重要。通过实施该项目，能够保证无线电监测设施和控制中心控制设施安全运行，切实履行无线电管理职责，更好的为当地经济社会高质量发展和国防建设营造良好的频谱资源供给环境。</w:t>
      </w:r>
    </w:p>
    <w:p w14:paraId="642B78C7">
      <w:pPr>
        <w:pageBreakBefore w:val="0"/>
        <w:kinsoku/>
        <w:wordWrap/>
        <w:overflowPunct/>
        <w:topLinePunct w:val="0"/>
        <w:autoSpaceDE/>
        <w:autoSpaceDN/>
        <w:bidi w:val="0"/>
        <w:adjustRightInd/>
        <w:snapToGrid/>
        <w:spacing w:line="580" w:lineRule="exact"/>
        <w:ind w:firstLine="420" w:firstLineChars="200"/>
        <w:textAlignment w:val="auto"/>
        <w:rPr>
          <w:rFonts w:hint="eastAsia"/>
          <w:lang w:val="en-US" w:eastAsia="zh-CN"/>
        </w:rPr>
      </w:pPr>
    </w:p>
    <w:p w14:paraId="5D4BAA05">
      <w:pPr>
        <w:pStyle w:val="11"/>
        <w:pageBreakBefore w:val="0"/>
        <w:numPr>
          <w:ilvl w:val="0"/>
          <w:numId w:val="0"/>
        </w:numPr>
        <w:kinsoku/>
        <w:wordWrap/>
        <w:overflowPunct/>
        <w:topLinePunct w:val="0"/>
        <w:autoSpaceDE/>
        <w:autoSpaceDN/>
        <w:bidi w:val="0"/>
        <w:adjustRightInd/>
        <w:snapToGrid/>
        <w:spacing w:before="0" w:after="0" w:line="580" w:lineRule="exact"/>
        <w:ind w:firstLine="643" w:firstLineChars="200"/>
        <w:jc w:val="both"/>
        <w:textAlignment w:val="auto"/>
        <w:rPr>
          <w:rFonts w:hint="default" w:ascii="Times New Roman" w:hAnsi="Times New Roman" w:eastAsia="仿宋_GB2312" w:cs="Times New Roman"/>
          <w:kern w:val="2"/>
          <w:lang w:val="en-US" w:eastAsia="zh-CN"/>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r>
        <w:rPr>
          <w:rFonts w:hint="eastAsia" w:ascii="Times New Roman" w:hAnsi="Times New Roman" w:eastAsia="仿宋_GB2312" w:cs="Times New Roman"/>
          <w:kern w:val="2"/>
          <w:lang w:val="en-US" w:eastAsia="zh-CN"/>
        </w:rPr>
        <w:t>及实施情况</w:t>
      </w:r>
    </w:p>
    <w:p w14:paraId="040302E0">
      <w:pPr>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highlight w:val="yellow"/>
          <w:lang w:eastAsia="zh-CN"/>
        </w:rPr>
      </w:pPr>
      <w:r>
        <w:rPr>
          <w:rFonts w:hint="eastAsia" w:ascii="仿宋_GB2312" w:hAnsi="仿宋_GB2312" w:eastAsia="仿宋_GB2312" w:cs="仿宋_GB2312"/>
          <w:sz w:val="32"/>
          <w:szCs w:val="32"/>
          <w:highlight w:val="none"/>
          <w:lang w:val="en-US" w:eastAsia="zh-CN"/>
        </w:rPr>
        <w:t>项目主要内容：</w:t>
      </w:r>
      <w:r>
        <w:rPr>
          <w:rStyle w:val="17"/>
          <w:rFonts w:hint="eastAsia" w:ascii="仿宋_GB2312" w:hAnsi="仿宋_GB2312" w:eastAsia="仿宋_GB2312" w:cs="仿宋_GB2312"/>
          <w:b w:val="0"/>
          <w:spacing w:val="-4"/>
          <w:sz w:val="32"/>
          <w:szCs w:val="32"/>
        </w:rPr>
        <w:t>根据</w:t>
      </w:r>
      <w:r>
        <w:rPr>
          <w:rStyle w:val="17"/>
          <w:rFonts w:hint="eastAsia" w:ascii="仿宋_GB2312" w:hAnsi="仿宋_GB2312" w:eastAsia="仿宋_GB2312" w:cs="仿宋_GB2312"/>
          <w:b w:val="0"/>
          <w:spacing w:val="-4"/>
          <w:sz w:val="32"/>
          <w:szCs w:val="32"/>
          <w:lang w:val="en-US" w:eastAsia="zh-CN"/>
        </w:rPr>
        <w:t>2023</w:t>
      </w:r>
      <w:r>
        <w:rPr>
          <w:rStyle w:val="17"/>
          <w:rFonts w:hint="eastAsia" w:ascii="仿宋_GB2312" w:hAnsi="仿宋_GB2312" w:eastAsia="仿宋_GB2312" w:cs="仿宋_GB2312"/>
          <w:b w:val="0"/>
          <w:spacing w:val="-4"/>
          <w:sz w:val="32"/>
          <w:szCs w:val="32"/>
        </w:rPr>
        <w:t>年自治区无线电安全保障工作总体要求，结合</w:t>
      </w:r>
      <w:r>
        <w:rPr>
          <w:rStyle w:val="17"/>
          <w:rFonts w:hint="eastAsia" w:ascii="仿宋_GB2312" w:hAnsi="仿宋_GB2312" w:eastAsia="仿宋_GB2312" w:cs="仿宋_GB2312"/>
          <w:b w:val="0"/>
          <w:bCs w:val="0"/>
          <w:spacing w:val="-4"/>
          <w:sz w:val="32"/>
          <w:szCs w:val="32"/>
        </w:rPr>
        <w:t>伊犁州无线电管理局</w:t>
      </w:r>
      <w:r>
        <w:rPr>
          <w:rStyle w:val="17"/>
          <w:rFonts w:hint="eastAsia" w:ascii="仿宋_GB2312" w:hAnsi="仿宋_GB2312" w:eastAsia="仿宋_GB2312" w:cs="仿宋_GB2312"/>
          <w:b w:val="0"/>
          <w:bCs w:val="0"/>
          <w:spacing w:val="-4"/>
          <w:sz w:val="32"/>
          <w:szCs w:val="32"/>
          <w:lang w:val="en-US" w:eastAsia="zh-CN"/>
        </w:rPr>
        <w:t>2024年</w:t>
      </w:r>
      <w:r>
        <w:rPr>
          <w:rStyle w:val="17"/>
          <w:rFonts w:hint="eastAsia" w:ascii="仿宋_GB2312" w:hAnsi="仿宋_GB2312" w:eastAsia="仿宋_GB2312" w:cs="仿宋_GB2312"/>
          <w:b w:val="0"/>
          <w:spacing w:val="-4"/>
          <w:sz w:val="32"/>
          <w:szCs w:val="32"/>
        </w:rPr>
        <w:t>工作计划，</w:t>
      </w:r>
      <w:r>
        <w:rPr>
          <w:rStyle w:val="17"/>
          <w:rFonts w:hint="eastAsia" w:ascii="仿宋_GB2312" w:hAnsi="仿宋_GB2312" w:eastAsia="仿宋_GB2312" w:cs="仿宋_GB2312"/>
          <w:b w:val="0"/>
          <w:spacing w:val="-4"/>
          <w:sz w:val="32"/>
          <w:szCs w:val="32"/>
          <w:lang w:val="en-US" w:eastAsia="zh-CN"/>
        </w:rPr>
        <w:t>我局</w:t>
      </w:r>
      <w:r>
        <w:rPr>
          <w:rFonts w:hint="eastAsia" w:ascii="仿宋_GB2312" w:hAnsi="仿宋_GB2312" w:eastAsia="仿宋_GB2312" w:cs="仿宋_GB2312"/>
          <w:color w:val="000000"/>
          <w:sz w:val="32"/>
          <w:szCs w:val="32"/>
          <w:lang w:val="en-US" w:eastAsia="zh-CN"/>
        </w:rPr>
        <w:t>申请使用非财政拨款事业单位国有资产出租出借收入</w:t>
      </w:r>
      <w:r>
        <w:rPr>
          <w:rStyle w:val="17"/>
          <w:rFonts w:hint="eastAsia" w:ascii="仿宋_GB2312" w:hAnsi="仿宋_GB2312" w:eastAsia="仿宋_GB2312" w:cs="仿宋_GB2312"/>
          <w:b w:val="0"/>
          <w:bCs w:val="0"/>
          <w:spacing w:val="-4"/>
          <w:sz w:val="32"/>
          <w:szCs w:val="32"/>
        </w:rPr>
        <w:t>申报</w:t>
      </w:r>
      <w:r>
        <w:rPr>
          <w:rStyle w:val="17"/>
          <w:rFonts w:hint="eastAsia" w:ascii="仿宋_GB2312" w:hAnsi="仿宋_GB2312" w:eastAsia="仿宋_GB2312" w:cs="仿宋_GB2312"/>
          <w:b w:val="0"/>
          <w:bCs w:val="0"/>
          <w:spacing w:val="-4"/>
          <w:sz w:val="32"/>
          <w:szCs w:val="32"/>
          <w:lang w:val="en-US" w:eastAsia="zh-CN"/>
        </w:rPr>
        <w:t>无线电运维项目25.80</w:t>
      </w:r>
      <w:r>
        <w:rPr>
          <w:rStyle w:val="17"/>
          <w:rFonts w:hint="eastAsia" w:ascii="仿宋_GB2312" w:hAnsi="仿宋_GB2312" w:eastAsia="仿宋_GB2312" w:cs="仿宋_GB2312"/>
          <w:b w:val="0"/>
          <w:bCs w:val="0"/>
          <w:spacing w:val="-4"/>
          <w:sz w:val="32"/>
          <w:szCs w:val="32"/>
        </w:rPr>
        <w:t>万元，</w:t>
      </w:r>
      <w:r>
        <w:rPr>
          <w:rFonts w:hint="eastAsia" w:ascii="仿宋_GB2312" w:hAnsi="仿宋_GB2312" w:eastAsia="仿宋_GB2312" w:cs="仿宋_GB2312"/>
          <w:color w:val="000000"/>
          <w:sz w:val="32"/>
          <w:szCs w:val="32"/>
          <w:lang w:val="en-US" w:eastAsia="zh-CN"/>
        </w:rPr>
        <w:t>购置高性能手持式频谱分析仪1台</w:t>
      </w:r>
      <w:r>
        <w:rPr>
          <w:rFonts w:hint="eastAsia" w:ascii="仿宋_GB2312" w:hAnsi="仿宋_GB2312" w:eastAsia="仿宋_GB2312" w:cs="仿宋_GB2312"/>
          <w:sz w:val="32"/>
          <w:szCs w:val="32"/>
          <w:lang w:val="en-US" w:eastAsia="zh-CN"/>
        </w:rPr>
        <w:t>。</w:t>
      </w:r>
    </w:p>
    <w:p w14:paraId="68825FCE">
      <w:pPr>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lang w:val="en-US" w:eastAsia="zh-CN"/>
        </w:rPr>
        <w:t>项目实施情况</w:t>
      </w:r>
      <w:r>
        <w:rPr>
          <w:rFonts w:hint="eastAsia" w:ascii="仿宋_GB2312" w:hAnsi="仿宋_GB2312" w:eastAsia="仿宋_GB2312" w:cs="仿宋_GB2312"/>
          <w:sz w:val="32"/>
          <w:szCs w:val="32"/>
        </w:rPr>
        <w:t>：</w:t>
      </w:r>
      <w:r>
        <w:rPr>
          <w:rFonts w:hint="eastAsia" w:ascii="仿宋_GB2312" w:hAnsi="仿宋_GB2312" w:eastAsia="仿宋_GB2312" w:cs="仿宋_GB2312"/>
          <w:kern w:val="0"/>
          <w:sz w:val="32"/>
          <w:szCs w:val="32"/>
        </w:rPr>
        <w:t>无线电业务运维项目</w:t>
      </w:r>
      <w:r>
        <w:rPr>
          <w:rFonts w:hint="eastAsia" w:ascii="仿宋_GB2312" w:hAnsi="仿宋_GB2312" w:eastAsia="仿宋_GB2312" w:cs="仿宋_GB2312"/>
          <w:sz w:val="32"/>
          <w:szCs w:val="32"/>
        </w:rPr>
        <w:t>已</w:t>
      </w:r>
      <w:r>
        <w:rPr>
          <w:rFonts w:hint="eastAsia" w:ascii="仿宋_GB2312" w:hAnsi="仿宋_GB2312" w:eastAsia="仿宋_GB2312" w:cs="仿宋_GB2312"/>
          <w:sz w:val="32"/>
          <w:szCs w:val="32"/>
          <w:lang w:val="en-US" w:eastAsia="zh-CN"/>
        </w:rPr>
        <w:t>顺延</w:t>
      </w:r>
      <w:r>
        <w:rPr>
          <w:rFonts w:hint="eastAsia" w:ascii="仿宋_GB2312" w:hAnsi="仿宋_GB2312" w:eastAsia="仿宋_GB2312" w:cs="仿宋_GB2312"/>
          <w:sz w:val="32"/>
          <w:szCs w:val="32"/>
        </w:rPr>
        <w:t>完成</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auto"/>
          <w:sz w:val="32"/>
          <w:szCs w:val="32"/>
          <w:lang w:val="en-US" w:eastAsia="zh-CN"/>
        </w:rPr>
        <w:t>能够满足</w:t>
      </w:r>
      <w:r>
        <w:rPr>
          <w:rFonts w:hint="eastAsia" w:ascii="仿宋_GB2312" w:hAnsi="仿宋_GB2312" w:eastAsia="仿宋_GB2312" w:cs="仿宋_GB2312"/>
          <w:sz w:val="32"/>
          <w:szCs w:val="32"/>
        </w:rPr>
        <w:t>5G频段电磁环境的保护性监测，</w:t>
      </w:r>
      <w:r>
        <w:rPr>
          <w:rFonts w:hint="eastAsia" w:ascii="仿宋_GB2312" w:hAnsi="仿宋_GB2312" w:eastAsia="仿宋_GB2312" w:cs="仿宋_GB2312"/>
          <w:sz w:val="32"/>
          <w:szCs w:val="32"/>
          <w:lang w:val="en-US" w:eastAsia="zh-CN"/>
        </w:rPr>
        <w:t>保证伊犁州直</w:t>
      </w:r>
      <w:r>
        <w:rPr>
          <w:rFonts w:hint="eastAsia" w:ascii="仿宋_GB2312" w:hAnsi="仿宋_GB2312" w:eastAsia="仿宋_GB2312" w:cs="仿宋_GB2312"/>
          <w:sz w:val="32"/>
          <w:szCs w:val="32"/>
        </w:rPr>
        <w:t>5G专用网络通信安全，及时发现并排除安全隐患，保证5G基站正常运行</w:t>
      </w:r>
      <w:r>
        <w:rPr>
          <w:rFonts w:hint="eastAsia" w:ascii="仿宋_GB2312" w:hAnsi="仿宋_GB2312" w:eastAsia="仿宋_GB2312" w:cs="仿宋_GB2312"/>
          <w:sz w:val="32"/>
          <w:szCs w:val="32"/>
          <w:lang w:val="en-US" w:eastAsia="zh-CN"/>
        </w:rPr>
        <w:t>。</w:t>
      </w:r>
    </w:p>
    <w:p w14:paraId="7E19BFD1">
      <w:pPr>
        <w:pageBreakBefore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14:paraId="65215CED">
      <w:pPr>
        <w:pageBreakBefore w:val="0"/>
        <w:shd w:val="clear"/>
        <w:kinsoku/>
        <w:wordWrap/>
        <w:overflowPunct/>
        <w:topLinePunct w:val="0"/>
        <w:autoSpaceDE/>
        <w:autoSpaceDN/>
        <w:bidi w:val="0"/>
        <w:adjustRightInd/>
        <w:snapToGrid/>
        <w:spacing w:line="58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（1）资金投入情况</w:t>
      </w:r>
    </w:p>
    <w:p w14:paraId="271CB238">
      <w:pPr>
        <w:pageBreakBefore w:val="0"/>
        <w:shd w:val="clear"/>
        <w:kinsoku/>
        <w:wordWrap/>
        <w:overflowPunct/>
        <w:topLinePunct w:val="0"/>
        <w:autoSpaceDE/>
        <w:autoSpaceDN/>
        <w:bidi w:val="0"/>
        <w:adjustRightInd/>
        <w:snapToGrid/>
        <w:spacing w:line="580" w:lineRule="exact"/>
        <w:ind w:firstLine="640" w:firstLineChars="200"/>
        <w:textAlignment w:val="auto"/>
        <w:outlineLvl w:val="0"/>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sz w:val="32"/>
          <w:szCs w:val="32"/>
          <w:highlight w:val="none"/>
          <w:lang w:val="en-US" w:eastAsia="zh-CN"/>
        </w:rPr>
        <w:t>该项目年初预算数25.80万元，全年预算数25.80万元，该项目资金已全部落实到位，资金来源为</w:t>
      </w:r>
      <w:r>
        <w:rPr>
          <w:rFonts w:hint="eastAsia" w:ascii="仿宋_GB2312" w:hAnsi="仿宋_GB2312" w:eastAsia="仿宋_GB2312" w:cs="仿宋_GB2312"/>
          <w:b w:val="0"/>
          <w:bCs w:val="0"/>
          <w:sz w:val="32"/>
          <w:szCs w:val="32"/>
          <w:highlight w:val="none"/>
          <w:lang w:val="en-US" w:eastAsia="zh-CN"/>
        </w:rPr>
        <w:t>事业单位国有资产出租出借收入。</w:t>
      </w:r>
    </w:p>
    <w:p w14:paraId="703BE401">
      <w:pPr>
        <w:pageBreakBefore w:val="0"/>
        <w:shd w:val="clear"/>
        <w:kinsoku/>
        <w:wordWrap/>
        <w:overflowPunct/>
        <w:topLinePunct w:val="0"/>
        <w:autoSpaceDE/>
        <w:autoSpaceDN/>
        <w:bidi w:val="0"/>
        <w:adjustRightInd/>
        <w:snapToGrid/>
        <w:spacing w:line="58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（2）资金使用情况</w:t>
      </w:r>
    </w:p>
    <w:p w14:paraId="1C8231E4">
      <w:pPr>
        <w:pageBreakBefore w:val="0"/>
        <w:shd w:val="clear"/>
        <w:kinsoku/>
        <w:wordWrap/>
        <w:overflowPunct/>
        <w:topLinePunct w:val="0"/>
        <w:autoSpaceDE/>
        <w:autoSpaceDN/>
        <w:bidi w:val="0"/>
        <w:adjustRightInd/>
        <w:snapToGrid/>
        <w:spacing w:line="58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该项目年初预算数25.80万元，全年预算数25.80万元，全年执行数22.60万元，预算执行率为87.60%，主要用于：购置1台高性能手持式频谱分析仪。</w:t>
      </w:r>
    </w:p>
    <w:p w14:paraId="70C659A0">
      <w:pPr>
        <w:pageBreakBefore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14:paraId="66871A80">
      <w:pPr>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b/>
          <w:bCs/>
          <w:sz w:val="32"/>
          <w:szCs w:val="32"/>
          <w:highlight w:val="none"/>
          <w:lang w:val="en-US" w:eastAsia="zh-CN"/>
        </w:rPr>
        <w:t>.</w:t>
      </w:r>
      <w:r>
        <w:rPr>
          <w:rFonts w:hint="eastAsia" w:ascii="仿宋_GB2312" w:hAnsi="仿宋_GB2312" w:eastAsia="仿宋_GB2312" w:cs="仿宋_GB2312"/>
          <w:sz w:val="32"/>
          <w:szCs w:val="32"/>
          <w:highlight w:val="none"/>
        </w:rPr>
        <w:t>总体目标</w:t>
      </w:r>
    </w:p>
    <w:p w14:paraId="3EF9121C">
      <w:pPr>
        <w:pageBreakBefore w:val="0"/>
        <w:kinsoku/>
        <w:wordWrap/>
        <w:overflowPunct/>
        <w:topLinePunct w:val="0"/>
        <w:autoSpaceDE/>
        <w:autoSpaceDN/>
        <w:bidi w:val="0"/>
        <w:adjustRightInd/>
        <w:snapToGrid/>
        <w:spacing w:line="580" w:lineRule="exact"/>
        <w:ind w:firstLine="624" w:firstLineChars="200"/>
        <w:textAlignment w:val="auto"/>
        <w:rPr>
          <w:rStyle w:val="17"/>
          <w:rFonts w:hint="eastAsia" w:ascii="仿宋_GB2312" w:hAnsi="仿宋_GB2312" w:eastAsia="仿宋_GB2312" w:cs="仿宋_GB2312"/>
          <w:b w:val="0"/>
          <w:bCs/>
          <w:spacing w:val="-4"/>
          <w:sz w:val="32"/>
          <w:szCs w:val="32"/>
          <w:highlight w:val="none"/>
        </w:rPr>
      </w:pPr>
      <w:r>
        <w:rPr>
          <w:rStyle w:val="17"/>
          <w:rFonts w:hint="eastAsia" w:ascii="仿宋_GB2312" w:hAnsi="仿宋_GB2312" w:eastAsia="仿宋_GB2312" w:cs="仿宋_GB2312"/>
          <w:b w:val="0"/>
          <w:bCs/>
          <w:spacing w:val="-4"/>
          <w:sz w:val="32"/>
          <w:szCs w:val="32"/>
          <w:highlight w:val="none"/>
        </w:rPr>
        <w:t>购置一台高性能手持式频谱监测分析仪，有效提升5G信号干扰监测及ISM全波段信号分析能力，可以为复杂电磁环境提供可靠的无线电监测、信号测量分析等功能。有效的完善和扩充了无线电管理系统装备，是无线电管理工作适应新技术、新形势的必要技术手段。建成后将提升无线电监测能力，可更好地维护空中电波秩序，对经济建设、社会发展、人民生活都具有重要的意义</w:t>
      </w:r>
      <w:r>
        <w:rPr>
          <w:rStyle w:val="17"/>
          <w:rFonts w:hint="eastAsia" w:ascii="仿宋_GB2312" w:hAnsi="仿宋_GB2312" w:eastAsia="仿宋_GB2312" w:cs="仿宋_GB2312"/>
          <w:b w:val="0"/>
          <w:bCs/>
          <w:spacing w:val="-4"/>
          <w:sz w:val="32"/>
          <w:szCs w:val="32"/>
          <w:highlight w:val="none"/>
          <w:lang w:val="en-US" w:eastAsia="zh-CN"/>
        </w:rPr>
        <w:t>；</w:t>
      </w:r>
      <w:r>
        <w:rPr>
          <w:rStyle w:val="17"/>
          <w:rFonts w:hint="eastAsia" w:ascii="仿宋_GB2312" w:hAnsi="仿宋_GB2312" w:eastAsia="仿宋_GB2312" w:cs="仿宋_GB2312"/>
          <w:b w:val="0"/>
          <w:bCs/>
          <w:spacing w:val="-4"/>
          <w:sz w:val="32"/>
          <w:szCs w:val="32"/>
          <w:highlight w:val="none"/>
        </w:rPr>
        <w:t>经费严格按要求和规定管理使用，并将支出控制在预算范围内。</w:t>
      </w:r>
    </w:p>
    <w:p w14:paraId="6DFD090D">
      <w:pPr>
        <w:pageBreakBefore w:val="0"/>
        <w:numPr>
          <w:ilvl w:val="0"/>
          <w:numId w:val="1"/>
        </w:numPr>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阶段性目标</w:t>
      </w:r>
    </w:p>
    <w:p w14:paraId="5034233B">
      <w:pPr>
        <w:pStyle w:val="2"/>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购置的手持高性能频谱监测仪频率范围、灵敏度、分辨率带宽</w:t>
      </w:r>
      <w:r>
        <w:rPr>
          <w:rFonts w:hint="eastAsia" w:ascii="仿宋_GB2312" w:hAnsi="仿宋_GB2312" w:eastAsia="仿宋_GB2312" w:cs="仿宋_GB2312"/>
          <w:sz w:val="32"/>
          <w:szCs w:val="32"/>
          <w:lang w:val="en-US" w:eastAsia="zh-CN"/>
        </w:rPr>
        <w:t>等都已</w:t>
      </w:r>
      <w:r>
        <w:rPr>
          <w:rFonts w:hint="eastAsia" w:ascii="仿宋_GB2312" w:hAnsi="仿宋_GB2312" w:eastAsia="仿宋_GB2312" w:cs="仿宋_GB2312"/>
          <w:sz w:val="32"/>
          <w:szCs w:val="32"/>
        </w:rPr>
        <w:t>达到</w:t>
      </w:r>
      <w:r>
        <w:rPr>
          <w:rStyle w:val="17"/>
          <w:rFonts w:hint="eastAsia" w:ascii="仿宋_GB2312" w:hAnsi="仿宋_GB2312" w:eastAsia="仿宋_GB2312" w:cs="仿宋_GB2312"/>
          <w:b w:val="0"/>
          <w:bCs/>
          <w:spacing w:val="-4"/>
          <w:sz w:val="32"/>
          <w:szCs w:val="32"/>
          <w:highlight w:val="none"/>
          <w:lang w:val="en-US" w:eastAsia="zh-CN"/>
        </w:rPr>
        <w:t>性能要求及参数指标要求。</w:t>
      </w:r>
    </w:p>
    <w:p w14:paraId="795E3476">
      <w:pPr>
        <w:pStyle w:val="2"/>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项目完成后，</w:t>
      </w:r>
      <w:r>
        <w:rPr>
          <w:rFonts w:hint="eastAsia" w:ascii="仿宋_GB2312" w:hAnsi="仿宋_GB2312" w:eastAsia="仿宋_GB2312" w:cs="仿宋_GB2312"/>
          <w:sz w:val="32"/>
          <w:szCs w:val="32"/>
          <w:lang w:val="en-US" w:eastAsia="zh-CN"/>
        </w:rPr>
        <w:t>有效</w:t>
      </w:r>
      <w:r>
        <w:rPr>
          <w:rFonts w:hint="eastAsia" w:ascii="仿宋_GB2312" w:hAnsi="仿宋_GB2312" w:eastAsia="仿宋_GB2312" w:cs="仿宋_GB2312"/>
          <w:sz w:val="32"/>
          <w:szCs w:val="32"/>
        </w:rPr>
        <w:t>提升</w:t>
      </w:r>
      <w:r>
        <w:rPr>
          <w:rFonts w:hint="eastAsia" w:ascii="仿宋_GB2312" w:hAnsi="仿宋_GB2312" w:eastAsia="仿宋_GB2312" w:cs="仿宋_GB2312"/>
          <w:sz w:val="32"/>
          <w:szCs w:val="32"/>
          <w:lang w:val="en-US" w:eastAsia="zh-CN"/>
        </w:rPr>
        <w:t>5G信号干扰监测</w:t>
      </w:r>
      <w:r>
        <w:rPr>
          <w:rFonts w:hint="eastAsia" w:ascii="仿宋_GB2312" w:hAnsi="仿宋_GB2312" w:eastAsia="仿宋_GB2312" w:cs="仿宋_GB2312"/>
          <w:sz w:val="32"/>
          <w:szCs w:val="32"/>
        </w:rPr>
        <w:t>及</w:t>
      </w:r>
      <w:r>
        <w:rPr>
          <w:rFonts w:hint="eastAsia" w:ascii="仿宋_GB2312" w:hAnsi="仿宋_GB2312" w:eastAsia="仿宋_GB2312" w:cs="仿宋_GB2312"/>
          <w:sz w:val="32"/>
          <w:szCs w:val="32"/>
          <w:lang w:val="en-US" w:eastAsia="zh-CN"/>
        </w:rPr>
        <w:t>ISM全波段信号分析能力，</w:t>
      </w:r>
      <w:r>
        <w:rPr>
          <w:rFonts w:hint="eastAsia" w:ascii="仿宋_GB2312" w:hAnsi="仿宋_GB2312" w:eastAsia="仿宋_GB2312" w:cs="仿宋_GB2312"/>
          <w:sz w:val="32"/>
          <w:szCs w:val="32"/>
        </w:rPr>
        <w:t>可以为复杂电磁环境提供可靠的无线电监测</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信号测量分析等功能</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有效提升</w:t>
      </w:r>
      <w:r>
        <w:rPr>
          <w:rFonts w:hint="eastAsia" w:ascii="仿宋_GB2312" w:hAnsi="仿宋_GB2312" w:eastAsia="仿宋_GB2312" w:cs="仿宋_GB2312"/>
          <w:sz w:val="32"/>
          <w:szCs w:val="32"/>
        </w:rPr>
        <w:t>查处无线电干扰案件数量、保障重大活动通信安全次数。</w:t>
      </w:r>
    </w:p>
    <w:p w14:paraId="5FB152AB">
      <w:pPr>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通过技术人员</w:t>
      </w:r>
      <w:r>
        <w:rPr>
          <w:rFonts w:hint="eastAsia" w:ascii="仿宋_GB2312" w:hAnsi="仿宋_GB2312" w:eastAsia="仿宋_GB2312" w:cs="仿宋_GB2312"/>
          <w:color w:val="333333"/>
          <w:sz w:val="32"/>
          <w:szCs w:val="32"/>
          <w:highlight w:val="none"/>
          <w:lang w:val="en-US" w:eastAsia="zh-CN" w:bidi="ar"/>
        </w:rPr>
        <w:t>对</w:t>
      </w:r>
      <w:r>
        <w:rPr>
          <w:rStyle w:val="17"/>
          <w:rFonts w:hint="eastAsia" w:ascii="仿宋_GB2312" w:hAnsi="仿宋_GB2312" w:eastAsia="仿宋_GB2312" w:cs="仿宋_GB2312"/>
          <w:b w:val="0"/>
          <w:bCs/>
          <w:spacing w:val="-4"/>
          <w:sz w:val="32"/>
          <w:szCs w:val="32"/>
          <w:highlight w:val="none"/>
        </w:rPr>
        <w:t>高性能手持式频谱监测分析仪</w:t>
      </w:r>
      <w:r>
        <w:rPr>
          <w:rStyle w:val="17"/>
          <w:rFonts w:hint="eastAsia" w:ascii="仿宋_GB2312" w:hAnsi="仿宋_GB2312" w:eastAsia="仿宋_GB2312" w:cs="仿宋_GB2312"/>
          <w:b w:val="0"/>
          <w:bCs/>
          <w:spacing w:val="-4"/>
          <w:sz w:val="32"/>
          <w:szCs w:val="32"/>
          <w:highlight w:val="none"/>
          <w:lang w:val="en-US" w:eastAsia="zh-CN"/>
        </w:rPr>
        <w:t>的性能要求及参数指标的</w:t>
      </w:r>
      <w:r>
        <w:rPr>
          <w:rFonts w:hint="eastAsia" w:ascii="仿宋_GB2312" w:hAnsi="仿宋_GB2312" w:eastAsia="仿宋_GB2312" w:cs="仿宋_GB2312"/>
          <w:kern w:val="2"/>
          <w:sz w:val="32"/>
          <w:szCs w:val="32"/>
          <w:highlight w:val="none"/>
          <w:lang w:val="en-US" w:eastAsia="zh-CN" w:bidi="ar-SA"/>
        </w:rPr>
        <w:t>审核后，项目小组按要求完成项目验收</w:t>
      </w:r>
      <w:r>
        <w:rPr>
          <w:rFonts w:hint="eastAsia" w:eastAsia="仿宋_GB2312" w:cs="Times New Roman"/>
          <w:kern w:val="2"/>
          <w:sz w:val="32"/>
          <w:szCs w:val="32"/>
          <w:highlight w:val="none"/>
          <w:lang w:val="en-US" w:eastAsia="zh-CN" w:bidi="ar-SA"/>
        </w:rPr>
        <w:t>。</w:t>
      </w:r>
    </w:p>
    <w:p w14:paraId="3550C1A0">
      <w:pPr>
        <w:pageBreakBefore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14:paraId="7454ABDC">
      <w:pPr>
        <w:pStyle w:val="11"/>
        <w:pageBreakBefore w:val="0"/>
        <w:widowControl w:val="0"/>
        <w:kinsoku/>
        <w:wordWrap/>
        <w:overflowPunct/>
        <w:topLinePunct w:val="0"/>
        <w:autoSpaceDE/>
        <w:autoSpaceDN/>
        <w:bidi w:val="0"/>
        <w:adjustRightInd/>
        <w:snapToGrid/>
        <w:spacing w:before="0" w:after="0" w:line="580" w:lineRule="exact"/>
        <w:ind w:firstLine="640" w:firstLineChars="200"/>
        <w:jc w:val="both"/>
        <w:textAlignment w:val="auto"/>
        <w:outlineLvl w:val="9"/>
        <w:rPr>
          <w:rFonts w:hint="eastAsia" w:ascii="仿宋_GB2312" w:hAnsi="仿宋_GB2312" w:eastAsia="仿宋_GB2312" w:cs="仿宋_GB2312"/>
          <w:b w:val="0"/>
          <w:bCs w:val="0"/>
          <w:highlight w:val="none"/>
          <w:lang w:val="en-US" w:eastAsia="zh-CN"/>
        </w:rPr>
      </w:pPr>
      <w:r>
        <w:rPr>
          <w:rFonts w:hint="eastAsia" w:ascii="仿宋_GB2312" w:hAnsi="仿宋_GB2312" w:eastAsia="仿宋_GB2312" w:cs="仿宋_GB2312"/>
          <w:b w:val="0"/>
          <w:bCs w:val="0"/>
          <w:highlight w:val="none"/>
          <w:lang w:val="en-US" w:eastAsia="zh-CN"/>
        </w:rPr>
        <w:t>1.绩效评价完整性</w:t>
      </w:r>
    </w:p>
    <w:p w14:paraId="2B963BE3">
      <w:pPr>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186A8DFE">
      <w:pPr>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在评价指标体系的构建上，充分考虑了项目的性质、目标以及预期成果，选取了具有代表性和可衡量性的关键指标，涵盖了经济效益，力求全方位反映项目的绩效状况。同时，对于每个指标的评价标准和数据来源均进行了明确说明，确保评价结果的客观性和可追溯性。</w:t>
      </w:r>
    </w:p>
    <w:p w14:paraId="33FF433E">
      <w:pPr>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44E588C6">
      <w:pPr>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5A69D552">
      <w:pPr>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47A26347">
      <w:pPr>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绩效评价的目的</w:t>
      </w:r>
    </w:p>
    <w:p w14:paraId="705775DB">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（1）评估项目实施效果</w:t>
      </w:r>
    </w:p>
    <w:p w14:paraId="3378F08B">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通过对项目预算执行情况及各项绩效目标达成程度的系统性分析，全面、客观地评估项目在预定周期内的实施效果，包括经济效益指标，为项目后续的改进与优化提供科学依据。</w:t>
      </w:r>
    </w:p>
    <w:p w14:paraId="60209594">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（2）提升资源利用效率</w:t>
      </w:r>
    </w:p>
    <w:p w14:paraId="1C340212">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3AEFDCE0">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（3）强化项目管理责任</w:t>
      </w:r>
    </w:p>
    <w:p w14:paraId="719E1605">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6B85A813">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（4）为决策提供支持</w:t>
      </w:r>
    </w:p>
    <w:p w14:paraId="30EDCD4D">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6328FF3A">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（5）促进项目持续改进</w:t>
      </w:r>
    </w:p>
    <w:p w14:paraId="5FC30696">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5B928619">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68D79001">
      <w:pPr>
        <w:pStyle w:val="11"/>
        <w:pageBreakBefore w:val="0"/>
        <w:widowControl w:val="0"/>
        <w:kinsoku/>
        <w:wordWrap/>
        <w:overflowPunct/>
        <w:topLinePunct w:val="0"/>
        <w:autoSpaceDE/>
        <w:autoSpaceDN/>
        <w:bidi w:val="0"/>
        <w:adjustRightInd/>
        <w:snapToGrid/>
        <w:spacing w:before="0" w:after="0" w:line="580" w:lineRule="exact"/>
        <w:ind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3</w:t>
      </w:r>
      <w:r>
        <w:rPr>
          <w:rFonts w:hint="eastAsia" w:ascii="仿宋_GB2312" w:hAnsi="仿宋_GB2312" w:eastAsia="仿宋_GB2312" w:cs="仿宋_GB2312"/>
          <w:b/>
          <w:bCs/>
          <w:sz w:val="32"/>
          <w:szCs w:val="32"/>
          <w:lang w:val="en-US" w:eastAsia="zh-CN"/>
        </w:rPr>
        <w:t>.</w:t>
      </w:r>
      <w:r>
        <w:rPr>
          <w:rFonts w:hint="eastAsia" w:ascii="仿宋_GB2312" w:hAnsi="仿宋_GB2312" w:eastAsia="仿宋_GB2312" w:cs="仿宋_GB2312"/>
          <w:b w:val="0"/>
          <w:bCs w:val="0"/>
          <w:sz w:val="32"/>
          <w:szCs w:val="32"/>
        </w:rPr>
        <w:t>绩效评价的对象</w:t>
      </w:r>
    </w:p>
    <w:p w14:paraId="79DD0E68">
      <w:pPr>
        <w:pageBreakBefore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highlight w:val="none"/>
        </w:rPr>
        <w:t>本项目预算绩效评价报告的评价对象是</w:t>
      </w:r>
      <w:r>
        <w:rPr>
          <w:rFonts w:hint="eastAsia" w:ascii="仿宋_GB2312" w:hAnsi="仿宋_GB2312" w:eastAsia="仿宋_GB2312" w:cs="仿宋_GB2312"/>
          <w:kern w:val="0"/>
          <w:sz w:val="32"/>
          <w:szCs w:val="32"/>
          <w:highlight w:val="none"/>
        </w:rPr>
        <w:t>无线电业务运维项目</w:t>
      </w:r>
      <w:r>
        <w:rPr>
          <w:rFonts w:hint="eastAsia" w:ascii="仿宋_GB2312" w:hAnsi="仿宋_GB2312" w:eastAsia="仿宋_GB2312" w:cs="仿宋_GB2312"/>
          <w:b w:val="0"/>
          <w:bCs w:val="0"/>
          <w:sz w:val="32"/>
          <w:szCs w:val="32"/>
          <w:highlight w:val="none"/>
        </w:rPr>
        <w:t>及其预算执行情况。该项目由</w:t>
      </w:r>
      <w:r>
        <w:rPr>
          <w:rFonts w:hint="eastAsia" w:ascii="仿宋_GB2312" w:hAnsi="仿宋_GB2312" w:eastAsia="仿宋_GB2312" w:cs="仿宋_GB2312"/>
          <w:b w:val="0"/>
          <w:bCs w:val="0"/>
          <w:kern w:val="0"/>
          <w:sz w:val="32"/>
          <w:szCs w:val="32"/>
          <w:highlight w:val="none"/>
          <w:u w:val="none"/>
          <w:lang w:val="en-US" w:eastAsia="zh-CN"/>
        </w:rPr>
        <w:t>伊犁哈萨克自治州无线电管理局</w:t>
      </w:r>
      <w:r>
        <w:rPr>
          <w:rFonts w:hint="eastAsia" w:ascii="仿宋_GB2312" w:hAnsi="仿宋_GB2312" w:eastAsia="仿宋_GB2312" w:cs="仿宋_GB2312"/>
          <w:b w:val="0"/>
          <w:bCs w:val="0"/>
          <w:sz w:val="32"/>
          <w:szCs w:val="32"/>
          <w:highlight w:val="none"/>
        </w:rPr>
        <w:t>负责实施，旨购置一台高性能手持式频谱监测分析仪，有效提升5G信号干扰监测及ISM全波段信号分析能力，可以为复杂电磁环境提供可靠的无线电监测、信号测量分析等功能</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rPr>
        <w:t>达到有效的完善和扩充了无线电管理系统装备，是无线电管理工作适应新技术、新形势的必要技术手段。项目预算涵盖从</w:t>
      </w:r>
      <w:r>
        <w:rPr>
          <w:rFonts w:hint="eastAsia" w:ascii="仿宋_GB2312" w:hAnsi="仿宋_GB2312" w:eastAsia="仿宋_GB2312" w:cs="仿宋_GB2312"/>
          <w:b w:val="0"/>
          <w:bCs w:val="0"/>
          <w:sz w:val="32"/>
          <w:szCs w:val="32"/>
          <w:highlight w:val="none"/>
          <w:lang w:val="en-US" w:eastAsia="zh-CN"/>
        </w:rPr>
        <w:t>2024年1月10日</w:t>
      </w:r>
      <w:r>
        <w:rPr>
          <w:rFonts w:hint="eastAsia" w:ascii="仿宋_GB2312" w:hAnsi="仿宋_GB2312" w:eastAsia="仿宋_GB2312" w:cs="仿宋_GB2312"/>
          <w:b w:val="0"/>
          <w:bCs w:val="0"/>
          <w:sz w:val="32"/>
          <w:szCs w:val="32"/>
          <w:highlight w:val="none"/>
        </w:rPr>
        <w:t>至</w:t>
      </w:r>
      <w:r>
        <w:rPr>
          <w:rFonts w:hint="eastAsia" w:ascii="仿宋_GB2312" w:hAnsi="仿宋_GB2312" w:eastAsia="仿宋_GB2312" w:cs="仿宋_GB2312"/>
          <w:b w:val="0"/>
          <w:bCs w:val="0"/>
          <w:sz w:val="32"/>
          <w:szCs w:val="32"/>
          <w:highlight w:val="none"/>
          <w:lang w:val="en-US" w:eastAsia="zh-CN"/>
        </w:rPr>
        <w:t>2024年11月30日</w:t>
      </w:r>
      <w:r>
        <w:rPr>
          <w:rFonts w:hint="eastAsia" w:ascii="仿宋_GB2312" w:hAnsi="仿宋_GB2312" w:eastAsia="仿宋_GB2312" w:cs="仿宋_GB2312"/>
          <w:b w:val="0"/>
          <w:bCs w:val="0"/>
          <w:sz w:val="32"/>
          <w:szCs w:val="32"/>
          <w:highlight w:val="none"/>
        </w:rPr>
        <w:t>的全部资金投入与支出，涉及资金总额为</w:t>
      </w:r>
      <w:r>
        <w:rPr>
          <w:rFonts w:hint="eastAsia" w:ascii="仿宋_GB2312" w:hAnsi="仿宋_GB2312" w:eastAsia="仿宋_GB2312" w:cs="仿宋_GB2312"/>
          <w:b w:val="0"/>
          <w:bCs w:val="0"/>
          <w:sz w:val="32"/>
          <w:szCs w:val="32"/>
          <w:highlight w:val="none"/>
          <w:lang w:val="en-US" w:eastAsia="zh-CN"/>
        </w:rPr>
        <w:t>22.60万</w:t>
      </w:r>
      <w:r>
        <w:rPr>
          <w:rFonts w:hint="eastAsia" w:ascii="仿宋_GB2312" w:hAnsi="仿宋_GB2312" w:eastAsia="仿宋_GB2312" w:cs="仿宋_GB2312"/>
          <w:b w:val="0"/>
          <w:bCs w:val="0"/>
          <w:sz w:val="32"/>
          <w:szCs w:val="32"/>
          <w:highlight w:val="none"/>
        </w:rPr>
        <w:t>元。</w:t>
      </w:r>
    </w:p>
    <w:p w14:paraId="03166DB8">
      <w:pPr>
        <w:pStyle w:val="11"/>
        <w:pageBreakBefore w:val="0"/>
        <w:widowControl w:val="0"/>
        <w:kinsoku/>
        <w:wordWrap/>
        <w:overflowPunct/>
        <w:topLinePunct w:val="0"/>
        <w:autoSpaceDE/>
        <w:autoSpaceDN/>
        <w:bidi w:val="0"/>
        <w:adjustRightInd/>
        <w:snapToGrid/>
        <w:spacing w:before="0" w:after="0" w:line="580" w:lineRule="exact"/>
        <w:ind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4.</w:t>
      </w:r>
      <w:r>
        <w:rPr>
          <w:rFonts w:hint="eastAsia" w:ascii="仿宋_GB2312" w:hAnsi="仿宋_GB2312" w:eastAsia="仿宋_GB2312" w:cs="仿宋_GB2312"/>
          <w:b w:val="0"/>
          <w:bCs w:val="0"/>
          <w:sz w:val="32"/>
          <w:szCs w:val="32"/>
        </w:rPr>
        <w:t>绩效评价的范围</w:t>
      </w:r>
    </w:p>
    <w:p w14:paraId="47ACBA1D">
      <w:pPr>
        <w:pStyle w:val="11"/>
        <w:pageBreakBefore w:val="0"/>
        <w:widowControl w:val="0"/>
        <w:kinsoku/>
        <w:wordWrap/>
        <w:overflowPunct/>
        <w:topLinePunct w:val="0"/>
        <w:autoSpaceDE/>
        <w:autoSpaceDN/>
        <w:bidi w:val="0"/>
        <w:adjustRightInd/>
        <w:snapToGrid/>
        <w:spacing w:before="0" w:after="0" w:line="58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本项目</w:t>
      </w:r>
      <w:r>
        <w:rPr>
          <w:rFonts w:hint="eastAsia" w:ascii="仿宋_GB2312" w:hAnsi="仿宋_GB2312" w:eastAsia="仿宋_GB2312" w:cs="仿宋_GB2312"/>
          <w:b w:val="0"/>
          <w:bCs w:val="0"/>
          <w:sz w:val="32"/>
          <w:szCs w:val="32"/>
          <w:highlight w:val="none"/>
          <w:lang w:val="en-US" w:eastAsia="zh-CN"/>
        </w:rPr>
        <w:t>预</w:t>
      </w:r>
      <w:r>
        <w:rPr>
          <w:rFonts w:hint="eastAsia" w:ascii="仿宋_GB2312" w:hAnsi="仿宋_GB2312" w:eastAsia="仿宋_GB2312" w:cs="仿宋_GB2312"/>
          <w:b w:val="0"/>
          <w:bCs w:val="0"/>
          <w:sz w:val="32"/>
          <w:szCs w:val="32"/>
          <w:highlight w:val="none"/>
        </w:rPr>
        <w:t>算绩效评价报告的评价范围广泛而全面，涵盖了从项目立项至评价时点期间的所有关键预算活动和财务流程。具体而言，评价范围包括但不限于以下几个方面：</w:t>
      </w:r>
    </w:p>
    <w:p w14:paraId="40461218">
      <w:pPr>
        <w:pStyle w:val="11"/>
        <w:pageBreakBefore w:val="0"/>
        <w:widowControl w:val="0"/>
        <w:numPr>
          <w:ilvl w:val="0"/>
          <w:numId w:val="2"/>
        </w:numPr>
        <w:kinsoku/>
        <w:wordWrap/>
        <w:overflowPunct/>
        <w:topLinePunct w:val="0"/>
        <w:autoSpaceDE/>
        <w:autoSpaceDN/>
        <w:bidi w:val="0"/>
        <w:adjustRightInd/>
        <w:snapToGrid/>
        <w:spacing w:before="0" w:after="0" w:line="58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项目预算编制与执行：全面审视项目预算的编制依据、合理性、科学性以及实际执行情况，包括预算调整的原因和效果。</w:t>
      </w:r>
    </w:p>
    <w:p w14:paraId="55B8C94C">
      <w:pPr>
        <w:pStyle w:val="11"/>
        <w:pageBreakBefore w:val="0"/>
        <w:widowControl w:val="0"/>
        <w:numPr>
          <w:ilvl w:val="0"/>
          <w:numId w:val="2"/>
        </w:numPr>
        <w:kinsoku/>
        <w:wordWrap/>
        <w:overflowPunct/>
        <w:topLinePunct w:val="0"/>
        <w:autoSpaceDE/>
        <w:autoSpaceDN/>
        <w:bidi w:val="0"/>
        <w:adjustRightInd/>
        <w:snapToGrid/>
        <w:spacing w:before="0" w:after="0" w:line="580" w:lineRule="exact"/>
        <w:ind w:firstLine="640" w:firstLineChars="200"/>
        <w:jc w:val="both"/>
        <w:textAlignment w:val="auto"/>
        <w:outlineLvl w:val="9"/>
        <w:rPr>
          <w:rFonts w:hint="eastAsia" w:ascii="仿宋_GB2312" w:hAnsi="仿宋_GB2312" w:eastAsia="仿宋_GB2312" w:cs="仿宋_GB2312"/>
          <w:b w:val="0"/>
          <w:bCs w:val="0"/>
          <w:highlight w:val="none"/>
          <w:lang w:eastAsia="zh-CN"/>
        </w:rPr>
      </w:pPr>
      <w:r>
        <w:rPr>
          <w:rFonts w:hint="eastAsia" w:ascii="仿宋_GB2312" w:hAnsi="仿宋_GB2312" w:eastAsia="仿宋_GB2312" w:cs="仿宋_GB2312"/>
          <w:b w:val="0"/>
          <w:bCs w:val="0"/>
          <w:highlight w:val="none"/>
        </w:rPr>
        <w:t>资金管理：深入分析项目资金的分配、使用和监管情况，确保资金使用的合规性、高效性和透明度。</w:t>
      </w:r>
    </w:p>
    <w:p w14:paraId="5FF9B8D2">
      <w:pPr>
        <w:pStyle w:val="11"/>
        <w:pageBreakBefore w:val="0"/>
        <w:widowControl w:val="0"/>
        <w:numPr>
          <w:ilvl w:val="0"/>
          <w:numId w:val="2"/>
        </w:numPr>
        <w:kinsoku/>
        <w:wordWrap/>
        <w:overflowPunct/>
        <w:topLinePunct w:val="0"/>
        <w:autoSpaceDE/>
        <w:autoSpaceDN/>
        <w:bidi w:val="0"/>
        <w:adjustRightInd/>
        <w:snapToGrid/>
        <w:spacing w:before="0" w:after="0" w:line="580" w:lineRule="exact"/>
        <w:ind w:firstLine="640" w:firstLineChars="200"/>
        <w:jc w:val="both"/>
        <w:textAlignment w:val="auto"/>
        <w:outlineLvl w:val="9"/>
        <w:rPr>
          <w:rFonts w:hint="eastAsia" w:ascii="仿宋_GB2312" w:hAnsi="仿宋_GB2312" w:eastAsia="仿宋_GB2312" w:cs="仿宋_GB2312"/>
          <w:b w:val="0"/>
          <w:bCs w:val="0"/>
          <w:highlight w:val="none"/>
          <w:lang w:eastAsia="zh-CN"/>
        </w:rPr>
      </w:pPr>
      <w:r>
        <w:rPr>
          <w:rFonts w:hint="eastAsia" w:ascii="仿宋_GB2312" w:hAnsi="仿宋_GB2312" w:eastAsia="仿宋_GB2312" w:cs="仿宋_GB2312"/>
          <w:b w:val="0"/>
          <w:bCs w:val="0"/>
          <w:highlight w:val="none"/>
        </w:rPr>
        <w:t>项目实施进度与产出：评估项目是否按照既定计划顺利推进，各项任务是否按时完成，以及项目产出的数量、质量和时效性是否符合预期。</w:t>
      </w:r>
    </w:p>
    <w:p w14:paraId="35647213">
      <w:pPr>
        <w:pStyle w:val="11"/>
        <w:pageBreakBefore w:val="0"/>
        <w:widowControl w:val="0"/>
        <w:numPr>
          <w:ilvl w:val="0"/>
          <w:numId w:val="0"/>
        </w:numPr>
        <w:kinsoku/>
        <w:wordWrap/>
        <w:overflowPunct/>
        <w:topLinePunct w:val="0"/>
        <w:autoSpaceDE/>
        <w:autoSpaceDN/>
        <w:bidi w:val="0"/>
        <w:adjustRightInd/>
        <w:snapToGrid/>
        <w:spacing w:before="0" w:after="0" w:line="580" w:lineRule="exact"/>
        <w:ind w:firstLine="640" w:firstLineChars="200"/>
        <w:jc w:val="both"/>
        <w:textAlignment w:val="auto"/>
        <w:outlineLvl w:val="9"/>
        <w:rPr>
          <w:rFonts w:hint="eastAsia" w:ascii="仿宋_GB2312" w:hAnsi="仿宋_GB2312" w:eastAsia="仿宋_GB2312" w:cs="仿宋_GB2312"/>
          <w:b w:val="0"/>
          <w:bCs w:val="0"/>
          <w:highlight w:val="green"/>
          <w:lang w:eastAsia="zh-CN"/>
        </w:rPr>
      </w:pPr>
      <w:r>
        <w:rPr>
          <w:rFonts w:hint="eastAsia" w:ascii="仿宋_GB2312" w:hAnsi="仿宋_GB2312" w:eastAsia="仿宋_GB2312" w:cs="仿宋_GB2312"/>
          <w:b w:val="0"/>
          <w:bCs w:val="0"/>
          <w:highlight w:val="none"/>
          <w:lang w:eastAsia="zh-CN"/>
        </w:rPr>
        <w:t>（</w:t>
      </w:r>
      <w:r>
        <w:rPr>
          <w:rFonts w:hint="eastAsia" w:ascii="仿宋_GB2312" w:hAnsi="仿宋_GB2312" w:eastAsia="仿宋_GB2312" w:cs="仿宋_GB2312"/>
          <w:b w:val="0"/>
          <w:bCs w:val="0"/>
          <w:highlight w:val="none"/>
          <w:lang w:val="en-US" w:eastAsia="zh-CN"/>
        </w:rPr>
        <w:t>4</w:t>
      </w:r>
      <w:r>
        <w:rPr>
          <w:rFonts w:hint="eastAsia" w:ascii="仿宋_GB2312" w:hAnsi="仿宋_GB2312" w:eastAsia="仿宋_GB2312" w:cs="仿宋_GB2312"/>
          <w:b w:val="0"/>
          <w:bCs w:val="0"/>
          <w:highlight w:val="none"/>
          <w:lang w:eastAsia="zh-CN"/>
        </w:rPr>
        <w:t>）</w:t>
      </w:r>
      <w:r>
        <w:rPr>
          <w:rFonts w:hint="eastAsia" w:ascii="仿宋_GB2312" w:hAnsi="仿宋_GB2312" w:eastAsia="仿宋_GB2312" w:cs="仿宋_GB2312"/>
          <w:b w:val="0"/>
          <w:bCs w:val="0"/>
          <w:highlight w:val="none"/>
        </w:rPr>
        <w:t>社会</w:t>
      </w:r>
      <w:r>
        <w:rPr>
          <w:rFonts w:hint="eastAsia" w:ascii="仿宋_GB2312" w:hAnsi="仿宋_GB2312" w:eastAsia="仿宋_GB2312" w:cs="仿宋_GB2312"/>
          <w:b w:val="0"/>
          <w:bCs w:val="0"/>
          <w:highlight w:val="none"/>
          <w:lang w:eastAsia="zh-CN"/>
        </w:rPr>
        <w:t>、</w:t>
      </w:r>
      <w:r>
        <w:rPr>
          <w:rFonts w:hint="eastAsia" w:ascii="仿宋_GB2312" w:hAnsi="仿宋_GB2312" w:eastAsia="仿宋_GB2312" w:cs="仿宋_GB2312"/>
          <w:b w:val="0"/>
          <w:bCs w:val="0"/>
          <w:highlight w:val="none"/>
          <w:lang w:val="en-US" w:eastAsia="zh-CN"/>
        </w:rPr>
        <w:t>生态等</w:t>
      </w:r>
      <w:r>
        <w:rPr>
          <w:rFonts w:hint="eastAsia" w:ascii="仿宋_GB2312" w:hAnsi="仿宋_GB2312" w:eastAsia="仿宋_GB2312" w:cs="仿宋_GB2312"/>
          <w:b w:val="0"/>
          <w:bCs w:val="0"/>
          <w:highlight w:val="none"/>
        </w:rPr>
        <w:t>影响：考察项目对经济方面的综合影响。</w:t>
      </w:r>
    </w:p>
    <w:p w14:paraId="2C3FA13D">
      <w:pPr>
        <w:pageBreakBefore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14:paraId="25797B1F">
      <w:pPr>
        <w:pStyle w:val="11"/>
        <w:pageBreakBefore w:val="0"/>
        <w:widowControl w:val="0"/>
        <w:kinsoku/>
        <w:wordWrap/>
        <w:overflowPunct/>
        <w:topLinePunct w:val="0"/>
        <w:autoSpaceDE/>
        <w:autoSpaceDN/>
        <w:bidi w:val="0"/>
        <w:adjustRightInd/>
        <w:snapToGrid/>
        <w:spacing w:before="0" w:after="0" w:line="580" w:lineRule="exact"/>
        <w:ind w:firstLine="640" w:firstLineChars="200"/>
        <w:jc w:val="both"/>
        <w:textAlignment w:val="auto"/>
        <w:outlineLvl w:val="9"/>
        <w:rPr>
          <w:rFonts w:hint="eastAsia" w:ascii="仿宋_GB2312" w:hAnsi="仿宋_GB2312" w:eastAsia="仿宋_GB2312" w:cs="仿宋_GB2312"/>
          <w:b w:val="0"/>
          <w:bCs w:val="0"/>
        </w:rPr>
      </w:pPr>
      <w:r>
        <w:rPr>
          <w:rFonts w:hint="eastAsia" w:ascii="仿宋_GB2312" w:hAnsi="仿宋_GB2312" w:eastAsia="仿宋_GB2312" w:cs="仿宋_GB2312"/>
          <w:b w:val="0"/>
          <w:bCs w:val="0"/>
        </w:rPr>
        <w:t>1</w:t>
      </w:r>
      <w:r>
        <w:rPr>
          <w:rFonts w:hint="eastAsia" w:ascii="仿宋_GB2312" w:hAnsi="仿宋_GB2312" w:eastAsia="仿宋_GB2312" w:cs="仿宋_GB2312"/>
          <w:b/>
          <w:bCs/>
          <w:sz w:val="32"/>
          <w:szCs w:val="32"/>
          <w:lang w:val="en-US" w:eastAsia="zh-CN"/>
        </w:rPr>
        <w:t>.</w:t>
      </w:r>
      <w:r>
        <w:rPr>
          <w:rFonts w:hint="eastAsia" w:ascii="仿宋_GB2312" w:hAnsi="仿宋_GB2312" w:eastAsia="仿宋_GB2312" w:cs="仿宋_GB2312"/>
          <w:b w:val="0"/>
          <w:bCs w:val="0"/>
        </w:rPr>
        <w:t>绩效评价原则</w:t>
      </w:r>
    </w:p>
    <w:p w14:paraId="22A400B7">
      <w:pPr>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本次项目绩效评价遵循以下基本原则：</w:t>
      </w:r>
    </w:p>
    <w:p w14:paraId="1A57D744">
      <w:pPr>
        <w:pStyle w:val="11"/>
        <w:pageBreakBefore w:val="0"/>
        <w:kinsoku/>
        <w:wordWrap/>
        <w:overflowPunct/>
        <w:topLinePunct w:val="0"/>
        <w:autoSpaceDE/>
        <w:autoSpaceDN/>
        <w:bidi w:val="0"/>
        <w:adjustRightInd/>
        <w:snapToGrid/>
        <w:spacing w:before="0" w:after="0" w:line="580" w:lineRule="exact"/>
        <w:ind w:firstLine="640" w:firstLineChars="200"/>
        <w:jc w:val="both"/>
        <w:textAlignment w:val="auto"/>
        <w:outlineLvl w:val="9"/>
        <w:rPr>
          <w:rFonts w:hint="eastAsia" w:ascii="仿宋_GB2312" w:hAnsi="仿宋_GB2312" w:eastAsia="仿宋_GB2312" w:cs="仿宋_GB2312"/>
          <w:b w:val="0"/>
          <w:bCs w:val="0"/>
        </w:rPr>
      </w:pPr>
      <w:r>
        <w:rPr>
          <w:rFonts w:hint="eastAsia" w:ascii="仿宋_GB2312" w:hAnsi="仿宋_GB2312" w:eastAsia="仿宋_GB2312" w:cs="仿宋_GB2312"/>
          <w:b w:val="0"/>
          <w:bCs w:val="0"/>
        </w:rPr>
        <w:t>（1）科学公正。绩效评价应当运用科学合理的方法，按照规范的程序，对项目绩效进行客观、公正的反映。</w:t>
      </w:r>
    </w:p>
    <w:p w14:paraId="498CA96F">
      <w:pPr>
        <w:pStyle w:val="11"/>
        <w:pageBreakBefore w:val="0"/>
        <w:kinsoku/>
        <w:wordWrap/>
        <w:overflowPunct/>
        <w:topLinePunct w:val="0"/>
        <w:autoSpaceDE/>
        <w:autoSpaceDN/>
        <w:bidi w:val="0"/>
        <w:adjustRightInd/>
        <w:snapToGrid/>
        <w:spacing w:before="0" w:after="0" w:line="580" w:lineRule="exact"/>
        <w:ind w:firstLine="640" w:firstLineChars="200"/>
        <w:jc w:val="both"/>
        <w:textAlignment w:val="auto"/>
        <w:outlineLvl w:val="9"/>
        <w:rPr>
          <w:rFonts w:hint="eastAsia" w:ascii="仿宋_GB2312" w:hAnsi="仿宋_GB2312" w:eastAsia="仿宋_GB2312" w:cs="仿宋_GB2312"/>
          <w:b w:val="0"/>
          <w:bCs w:val="0"/>
        </w:rPr>
      </w:pPr>
      <w:r>
        <w:rPr>
          <w:rFonts w:hint="eastAsia" w:ascii="仿宋_GB2312" w:hAnsi="仿宋_GB2312" w:eastAsia="仿宋_GB2312" w:cs="仿宋_GB2312"/>
          <w:b w:val="0"/>
          <w:bCs w:val="0"/>
        </w:rPr>
        <w:t>（2）统筹兼顾。单位自评、部门评价和财政评价应职责明确，各有侧重，相互衔接。单位自评应由项目单位自主实施，即“谁支出、谁自评”。部门评价和财政评价应在单位自评的基础上开展。</w:t>
      </w:r>
    </w:p>
    <w:p w14:paraId="74326398">
      <w:pPr>
        <w:pStyle w:val="11"/>
        <w:pageBreakBefore w:val="0"/>
        <w:kinsoku/>
        <w:wordWrap/>
        <w:overflowPunct/>
        <w:topLinePunct w:val="0"/>
        <w:autoSpaceDE/>
        <w:autoSpaceDN/>
        <w:bidi w:val="0"/>
        <w:adjustRightInd/>
        <w:snapToGrid/>
        <w:spacing w:before="0" w:after="0" w:line="580" w:lineRule="exact"/>
        <w:ind w:firstLine="640" w:firstLineChars="200"/>
        <w:jc w:val="both"/>
        <w:textAlignment w:val="auto"/>
        <w:outlineLvl w:val="9"/>
        <w:rPr>
          <w:rFonts w:hint="eastAsia" w:ascii="仿宋_GB2312" w:hAnsi="仿宋_GB2312" w:eastAsia="仿宋_GB2312" w:cs="仿宋_GB2312"/>
          <w:b w:val="0"/>
          <w:bCs w:val="0"/>
        </w:rPr>
      </w:pPr>
      <w:r>
        <w:rPr>
          <w:rFonts w:hint="eastAsia" w:ascii="仿宋_GB2312" w:hAnsi="仿宋_GB2312" w:eastAsia="仿宋_GB2312" w:cs="仿宋_GB2312"/>
          <w:b w:val="0"/>
          <w:bCs w:val="0"/>
        </w:rPr>
        <w:t>（3）激励约束。绩效评价结果应与预算安排、政策调整、改进管理实质性挂钩，体现奖优罚劣和激励相容导向，有效要安排、低效要压减、无效要问责。</w:t>
      </w:r>
    </w:p>
    <w:p w14:paraId="5A348772">
      <w:pPr>
        <w:pStyle w:val="11"/>
        <w:pageBreakBefore w:val="0"/>
        <w:kinsoku/>
        <w:wordWrap/>
        <w:overflowPunct/>
        <w:topLinePunct w:val="0"/>
        <w:autoSpaceDE/>
        <w:autoSpaceDN/>
        <w:bidi w:val="0"/>
        <w:adjustRightInd/>
        <w:snapToGrid/>
        <w:spacing w:before="0" w:after="0" w:line="580" w:lineRule="exact"/>
        <w:ind w:firstLine="640" w:firstLineChars="200"/>
        <w:jc w:val="both"/>
        <w:textAlignment w:val="auto"/>
        <w:outlineLvl w:val="9"/>
        <w:rPr>
          <w:rFonts w:hint="eastAsia" w:ascii="仿宋_GB2312" w:hAnsi="仿宋_GB2312" w:eastAsia="仿宋_GB2312" w:cs="仿宋_GB2312"/>
          <w:b w:val="0"/>
          <w:bCs w:val="0"/>
        </w:rPr>
      </w:pPr>
      <w:r>
        <w:rPr>
          <w:rFonts w:hint="eastAsia" w:ascii="仿宋_GB2312" w:hAnsi="仿宋_GB2312" w:eastAsia="仿宋_GB2312" w:cs="仿宋_GB2312"/>
          <w:b w:val="0"/>
          <w:bCs w:val="0"/>
        </w:rPr>
        <w:t>（4）公开透明。绩效评价结果应依法依规公开，并自觉接受社会监督。</w:t>
      </w:r>
    </w:p>
    <w:p w14:paraId="741E9B1C">
      <w:pPr>
        <w:pStyle w:val="11"/>
        <w:pageBreakBefore w:val="0"/>
        <w:widowControl w:val="0"/>
        <w:kinsoku/>
        <w:wordWrap/>
        <w:overflowPunct/>
        <w:topLinePunct w:val="0"/>
        <w:autoSpaceDE/>
        <w:autoSpaceDN/>
        <w:bidi w:val="0"/>
        <w:adjustRightInd/>
        <w:snapToGrid/>
        <w:spacing w:before="0" w:after="0" w:line="580" w:lineRule="exact"/>
        <w:ind w:firstLine="640" w:firstLineChars="200"/>
        <w:jc w:val="both"/>
        <w:textAlignment w:val="auto"/>
        <w:outlineLvl w:val="9"/>
        <w:rPr>
          <w:rFonts w:hint="eastAsia" w:ascii="仿宋_GB2312" w:hAnsi="仿宋_GB2312" w:eastAsia="仿宋_GB2312" w:cs="仿宋_GB2312"/>
          <w:b w:val="0"/>
          <w:bCs w:val="0"/>
        </w:rPr>
      </w:pPr>
      <w:r>
        <w:rPr>
          <w:rFonts w:hint="eastAsia" w:ascii="仿宋_GB2312" w:hAnsi="仿宋_GB2312" w:eastAsia="仿宋_GB2312" w:cs="仿宋_GB2312"/>
          <w:b w:val="0"/>
          <w:bCs w:val="0"/>
        </w:rPr>
        <w:t>2</w:t>
      </w:r>
      <w:r>
        <w:rPr>
          <w:rFonts w:hint="eastAsia" w:ascii="仿宋_GB2312" w:hAnsi="仿宋_GB2312" w:eastAsia="仿宋_GB2312" w:cs="仿宋_GB2312"/>
          <w:b/>
          <w:bCs/>
          <w:sz w:val="32"/>
          <w:szCs w:val="32"/>
          <w:lang w:val="en-US" w:eastAsia="zh-CN"/>
        </w:rPr>
        <w:t>.</w:t>
      </w:r>
      <w:r>
        <w:rPr>
          <w:rFonts w:hint="eastAsia" w:ascii="仿宋_GB2312" w:hAnsi="仿宋_GB2312" w:eastAsia="仿宋_GB2312" w:cs="仿宋_GB2312"/>
          <w:b w:val="0"/>
          <w:bCs w:val="0"/>
        </w:rPr>
        <w:t>评价指标体系</w:t>
      </w:r>
    </w:p>
    <w:p w14:paraId="78D08A72">
      <w:pPr>
        <w:pageBreakBefore w:val="0"/>
        <w:kinsoku/>
        <w:wordWrap/>
        <w:overflowPunct/>
        <w:topLinePunct w:val="0"/>
        <w:autoSpaceDE/>
        <w:autoSpaceDN/>
        <w:bidi w:val="0"/>
        <w:adjustRightInd/>
        <w:snapToGrid/>
        <w:spacing w:line="58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14:paraId="450011D0">
      <w:pPr>
        <w:pageBreakBefore w:val="0"/>
        <w:kinsoku/>
        <w:wordWrap/>
        <w:overflowPunct/>
        <w:topLinePunct w:val="0"/>
        <w:autoSpaceDE/>
        <w:autoSpaceDN/>
        <w:bidi w:val="0"/>
        <w:adjustRightInd/>
        <w:snapToGrid/>
        <w:spacing w:line="58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14:paraId="15CB4F39">
      <w:pPr>
        <w:pageBreakBefore w:val="0"/>
        <w:kinsoku/>
        <w:wordWrap/>
        <w:overflowPunct/>
        <w:topLinePunct w:val="0"/>
        <w:autoSpaceDE/>
        <w:autoSpaceDN/>
        <w:bidi w:val="0"/>
        <w:adjustRightInd/>
        <w:snapToGrid/>
        <w:spacing w:line="58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4B36B0AA">
      <w:pPr>
        <w:pageBreakBefore w:val="0"/>
        <w:kinsoku/>
        <w:wordWrap/>
        <w:overflowPunct/>
        <w:topLinePunct w:val="0"/>
        <w:autoSpaceDE/>
        <w:autoSpaceDN/>
        <w:bidi w:val="0"/>
        <w:adjustRightInd/>
        <w:snapToGrid/>
        <w:spacing w:line="58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14:paraId="34F0DB9F">
      <w:pPr>
        <w:pageBreakBefore w:val="0"/>
        <w:kinsoku/>
        <w:wordWrap/>
        <w:overflowPunct/>
        <w:topLinePunct w:val="0"/>
        <w:autoSpaceDE/>
        <w:autoSpaceDN/>
        <w:bidi w:val="0"/>
        <w:adjustRightInd/>
        <w:snapToGrid/>
        <w:spacing w:line="580" w:lineRule="exact"/>
        <w:ind w:firstLine="708" w:firstLineChars="200"/>
        <w:textAlignment w:val="auto"/>
        <w:rPr>
          <w:rFonts w:hint="eastAsia" w:ascii="仿宋_GB2312" w:hAnsi="仿宋_GB2312" w:eastAsia="仿宋_GB2312" w:cs="仿宋_GB2312"/>
          <w:color w:val="FF0000"/>
          <w:spacing w:val="17"/>
          <w:sz w:val="32"/>
          <w:szCs w:val="32"/>
          <w:lang w:eastAsia="zh-CN"/>
        </w:rPr>
      </w:pPr>
      <w:r>
        <w:rPr>
          <w:rFonts w:hint="eastAsia" w:ascii="仿宋_GB2312" w:hAnsi="仿宋_GB2312" w:eastAsia="仿宋_GB2312" w:cs="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78FA599A">
      <w:pPr>
        <w:pageBreakBefore w:val="0"/>
        <w:kinsoku/>
        <w:wordWrap/>
        <w:overflowPunct/>
        <w:topLinePunct w:val="0"/>
        <w:autoSpaceDE/>
        <w:autoSpaceDN/>
        <w:bidi w:val="0"/>
        <w:adjustRightInd/>
        <w:snapToGrid/>
        <w:spacing w:line="58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14:paraId="4A7E81D7">
      <w:pPr>
        <w:pageBreakBefore w:val="0"/>
        <w:kinsoku/>
        <w:wordWrap/>
        <w:overflowPunct/>
        <w:topLinePunct w:val="0"/>
        <w:autoSpaceDE/>
        <w:autoSpaceDN/>
        <w:bidi w:val="0"/>
        <w:adjustRightInd/>
        <w:snapToGrid/>
        <w:spacing w:line="58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766FE342">
      <w:pPr>
        <w:pStyle w:val="11"/>
        <w:pageBreakBefore w:val="0"/>
        <w:kinsoku/>
        <w:wordWrap/>
        <w:overflowPunct/>
        <w:topLinePunct w:val="0"/>
        <w:autoSpaceDE/>
        <w:autoSpaceDN/>
        <w:bidi w:val="0"/>
        <w:adjustRightInd/>
        <w:snapToGrid/>
        <w:spacing w:before="0" w:after="0" w:line="580" w:lineRule="exact"/>
        <w:ind w:firstLine="708" w:firstLineChars="200"/>
        <w:jc w:val="both"/>
        <w:textAlignment w:val="auto"/>
        <w:rPr>
          <w:rFonts w:hint="eastAsia" w:ascii="仿宋_GB2312" w:hAnsi="仿宋_GB2312" w:eastAsia="仿宋_GB2312" w:cs="仿宋_GB2312"/>
          <w:b w:val="0"/>
          <w:bCs w:val="0"/>
          <w:color w:val="000000"/>
          <w:spacing w:val="17"/>
          <w:kern w:val="2"/>
        </w:rPr>
      </w:pPr>
      <w:r>
        <w:rPr>
          <w:rFonts w:hint="eastAsia" w:ascii="仿宋_GB2312" w:hAnsi="仿宋_GB2312" w:eastAsia="仿宋_GB2312" w:cs="仿宋_GB2312"/>
          <w:b w:val="0"/>
          <w:bCs w:val="0"/>
          <w:color w:val="000000"/>
          <w:spacing w:val="17"/>
          <w:kern w:val="2"/>
        </w:rPr>
        <w:t>绩效评价总分值100分，根据综合评分结果，90（含）-100分为优、80（含）-90分为良、60（含）-80分为中、60分以下为差。</w:t>
      </w:r>
    </w:p>
    <w:p w14:paraId="68A2D733">
      <w:pPr>
        <w:pStyle w:val="11"/>
        <w:pageBreakBefore w:val="0"/>
        <w:widowControl w:val="0"/>
        <w:kinsoku/>
        <w:wordWrap/>
        <w:overflowPunct/>
        <w:topLinePunct w:val="0"/>
        <w:autoSpaceDE/>
        <w:autoSpaceDN/>
        <w:bidi w:val="0"/>
        <w:adjustRightInd/>
        <w:snapToGrid/>
        <w:spacing w:before="0" w:after="0" w:line="580" w:lineRule="exact"/>
        <w:ind w:firstLine="708" w:firstLineChars="200"/>
        <w:jc w:val="both"/>
        <w:textAlignment w:val="auto"/>
        <w:outlineLvl w:val="9"/>
        <w:rPr>
          <w:rFonts w:hint="eastAsia" w:ascii="仿宋_GB2312" w:hAnsi="仿宋_GB2312" w:eastAsia="仿宋_GB2312" w:cs="仿宋_GB2312"/>
          <w:b w:val="0"/>
          <w:bCs w:val="0"/>
          <w:color w:val="000000"/>
          <w:spacing w:val="17"/>
        </w:rPr>
      </w:pPr>
      <w:r>
        <w:rPr>
          <w:rFonts w:hint="eastAsia" w:ascii="仿宋_GB2312" w:hAnsi="仿宋_GB2312" w:eastAsia="仿宋_GB2312" w:cs="仿宋_GB2312"/>
          <w:b w:val="0"/>
          <w:bCs w:val="0"/>
          <w:color w:val="000000"/>
          <w:spacing w:val="17"/>
        </w:rPr>
        <w:t>具体评价指标体系详情见附件1</w:t>
      </w:r>
    </w:p>
    <w:p w14:paraId="2ED4833A">
      <w:pPr>
        <w:pStyle w:val="11"/>
        <w:pageBreakBefore w:val="0"/>
        <w:widowControl w:val="0"/>
        <w:kinsoku/>
        <w:wordWrap/>
        <w:overflowPunct/>
        <w:topLinePunct w:val="0"/>
        <w:autoSpaceDE/>
        <w:autoSpaceDN/>
        <w:bidi w:val="0"/>
        <w:adjustRightInd/>
        <w:snapToGrid/>
        <w:spacing w:before="0" w:after="0" w:line="580" w:lineRule="exact"/>
        <w:ind w:firstLine="640" w:firstLineChars="200"/>
        <w:jc w:val="both"/>
        <w:textAlignment w:val="auto"/>
        <w:outlineLvl w:val="9"/>
        <w:rPr>
          <w:rFonts w:hint="eastAsia" w:ascii="仿宋_GB2312" w:hAnsi="仿宋_GB2312" w:eastAsia="仿宋_GB2312" w:cs="仿宋_GB2312"/>
          <w:b w:val="0"/>
          <w:bCs w:val="0"/>
        </w:rPr>
      </w:pPr>
      <w:r>
        <w:rPr>
          <w:rFonts w:hint="eastAsia" w:ascii="仿宋_GB2312" w:hAnsi="仿宋_GB2312" w:eastAsia="仿宋_GB2312" w:cs="仿宋_GB2312"/>
          <w:b w:val="0"/>
          <w:bCs w:val="0"/>
        </w:rPr>
        <w:t>3</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绩效评价方法</w:t>
      </w:r>
    </w:p>
    <w:p w14:paraId="4E2A33A6">
      <w:pPr>
        <w:pageBreakBefore w:val="0"/>
        <w:kinsoku/>
        <w:wordWrap/>
        <w:overflowPunct/>
        <w:topLinePunct w:val="0"/>
        <w:autoSpaceDE/>
        <w:autoSpaceDN/>
        <w:bidi w:val="0"/>
        <w:adjustRightInd/>
        <w:snapToGrid/>
        <w:spacing w:line="58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14:paraId="47A06870">
      <w:pPr>
        <w:pageBreakBefore w:val="0"/>
        <w:kinsoku/>
        <w:wordWrap/>
        <w:overflowPunct/>
        <w:topLinePunct w:val="0"/>
        <w:autoSpaceDE/>
        <w:autoSpaceDN/>
        <w:bidi w:val="0"/>
        <w:adjustRightInd/>
        <w:snapToGrid/>
        <w:spacing w:line="580" w:lineRule="exact"/>
        <w:ind w:firstLine="708"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r>
        <w:rPr>
          <w:rFonts w:hint="eastAsia" w:ascii="仿宋_GB2312" w:hAnsi="仿宋_GB2312" w:eastAsia="仿宋_GB2312" w:cs="仿宋_GB2312"/>
          <w:color w:val="auto"/>
          <w:sz w:val="32"/>
          <w:szCs w:val="32"/>
          <w:highlight w:val="none"/>
          <w:lang w:val="en-US" w:eastAsia="zh-CN"/>
        </w:rPr>
        <w:t>因该项</w:t>
      </w:r>
      <w:r>
        <w:rPr>
          <w:rFonts w:hint="eastAsia" w:ascii="仿宋_GB2312" w:hAnsi="仿宋_GB2312" w:eastAsia="仿宋_GB2312" w:cs="仿宋_GB2312"/>
          <w:color w:val="auto"/>
          <w:sz w:val="32"/>
          <w:szCs w:val="32"/>
          <w:lang w:val="en-US" w:eastAsia="zh-CN"/>
        </w:rPr>
        <w:t>目的性质和实施特点，该项目绩效评估方法</w:t>
      </w:r>
      <w:r>
        <w:rPr>
          <w:rFonts w:hint="eastAsia" w:ascii="仿宋_GB2312" w:hAnsi="仿宋_GB2312" w:eastAsia="仿宋_GB2312" w:cs="仿宋_GB2312"/>
          <w:color w:val="auto"/>
          <w:sz w:val="32"/>
          <w:szCs w:val="32"/>
        </w:rPr>
        <w:t>采用成本效</w:t>
      </w:r>
      <w:r>
        <w:rPr>
          <w:rFonts w:hint="eastAsia" w:ascii="仿宋_GB2312" w:hAnsi="仿宋_GB2312" w:eastAsia="仿宋_GB2312" w:cs="仿宋_GB2312"/>
          <w:color w:val="auto"/>
          <w:sz w:val="32"/>
          <w:szCs w:val="32"/>
          <w:lang w:val="en-US" w:eastAsia="zh-CN"/>
        </w:rPr>
        <w:t>益</w:t>
      </w:r>
      <w:r>
        <w:rPr>
          <w:rFonts w:hint="eastAsia" w:ascii="仿宋_GB2312" w:hAnsi="仿宋_GB2312" w:eastAsia="仿宋_GB2312" w:cs="仿宋_GB2312"/>
          <w:color w:val="auto"/>
          <w:sz w:val="32"/>
          <w:szCs w:val="32"/>
        </w:rPr>
        <w:t>分析法，</w:t>
      </w:r>
      <w:r>
        <w:rPr>
          <w:rFonts w:hint="eastAsia" w:ascii="仿宋_GB2312" w:hAnsi="仿宋_GB2312" w:eastAsia="仿宋_GB2312" w:cs="仿宋_GB2312"/>
          <w:color w:val="auto"/>
          <w:kern w:val="0"/>
          <w:sz w:val="32"/>
          <w:szCs w:val="32"/>
          <w:u w:val="none" w:color="auto"/>
          <w:lang w:val="en-US" w:eastAsia="zh-CN"/>
        </w:rPr>
        <w:t>通过将项目的预算支出安排与预期效益进行对比，寻求以最小成本获取最大收益的投入方式。</w:t>
      </w:r>
      <w:r>
        <w:rPr>
          <w:rFonts w:hint="eastAsia" w:ascii="仿宋_GB2312" w:hAnsi="仿宋_GB2312" w:eastAsia="仿宋_GB2312" w:cs="仿宋_GB2312"/>
          <w:color w:val="auto"/>
          <w:sz w:val="32"/>
          <w:szCs w:val="32"/>
        </w:rPr>
        <w:t>成本效</w:t>
      </w:r>
      <w:r>
        <w:rPr>
          <w:rFonts w:hint="eastAsia" w:ascii="仿宋_GB2312" w:hAnsi="仿宋_GB2312" w:eastAsia="仿宋_GB2312" w:cs="仿宋_GB2312"/>
          <w:color w:val="auto"/>
          <w:sz w:val="32"/>
          <w:szCs w:val="32"/>
          <w:lang w:val="en-US" w:eastAsia="zh-CN"/>
        </w:rPr>
        <w:t>益</w:t>
      </w:r>
      <w:r>
        <w:rPr>
          <w:rFonts w:hint="eastAsia" w:ascii="仿宋_GB2312" w:hAnsi="仿宋_GB2312" w:eastAsia="仿宋_GB2312" w:cs="仿宋_GB2312"/>
          <w:color w:val="auto"/>
          <w:sz w:val="32"/>
          <w:szCs w:val="32"/>
        </w:rPr>
        <w:t>分析法主要是分析效</w:t>
      </w:r>
      <w:r>
        <w:rPr>
          <w:rFonts w:hint="eastAsia" w:ascii="仿宋_GB2312" w:hAnsi="仿宋_GB2312" w:eastAsia="仿宋_GB2312" w:cs="仿宋_GB2312"/>
          <w:color w:val="auto"/>
          <w:sz w:val="32"/>
          <w:szCs w:val="32"/>
          <w:lang w:val="en-US" w:eastAsia="zh-CN"/>
        </w:rPr>
        <w:t>益</w:t>
      </w:r>
      <w:r>
        <w:rPr>
          <w:rFonts w:hint="eastAsia" w:ascii="仿宋_GB2312" w:hAnsi="仿宋_GB2312" w:eastAsia="仿宋_GB2312" w:cs="仿宋_GB2312"/>
          <w:color w:val="auto"/>
          <w:sz w:val="32"/>
          <w:szCs w:val="32"/>
        </w:rPr>
        <w:t>的单位成本，即为获得一定的效用而必需耗费的成本，以及节约的成本，即分析净效益。若有功能或效益相同的多项方案，自然应选用单位成本最低者。</w:t>
      </w:r>
    </w:p>
    <w:p w14:paraId="7AC67468">
      <w:pPr>
        <w:pStyle w:val="25"/>
        <w:pageBreakBefore w:val="0"/>
        <w:kinsoku/>
        <w:wordWrap/>
        <w:overflowPunct/>
        <w:topLinePunct w:val="0"/>
        <w:autoSpaceDE/>
        <w:autoSpaceDN/>
        <w:bidi w:val="0"/>
        <w:adjustRightInd/>
        <w:snapToGrid/>
        <w:spacing w:line="580" w:lineRule="exact"/>
        <w:ind w:left="425"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成本效</w:t>
      </w:r>
      <w:r>
        <w:rPr>
          <w:rFonts w:hint="eastAsia" w:ascii="仿宋_GB2312" w:hAnsi="仿宋_GB2312" w:eastAsia="仿宋_GB2312" w:cs="仿宋_GB2312"/>
          <w:color w:val="auto"/>
          <w:sz w:val="32"/>
          <w:szCs w:val="32"/>
          <w:lang w:val="en-US" w:eastAsia="zh-CN"/>
        </w:rPr>
        <w:t>益</w:t>
      </w:r>
      <w:r>
        <w:rPr>
          <w:rFonts w:hint="eastAsia" w:ascii="仿宋_GB2312" w:hAnsi="仿宋_GB2312" w:eastAsia="仿宋_GB2312" w:cs="仿宋_GB2312"/>
          <w:color w:val="auto"/>
          <w:sz w:val="32"/>
          <w:szCs w:val="32"/>
        </w:rPr>
        <w:t>分析有三种情况：</w:t>
      </w:r>
    </w:p>
    <w:p w14:paraId="3AE27ACF">
      <w:pPr>
        <w:pStyle w:val="25"/>
        <w:pageBreakBefore w:val="0"/>
        <w:kinsoku/>
        <w:wordWrap/>
        <w:overflowPunct/>
        <w:topLinePunct w:val="0"/>
        <w:autoSpaceDE/>
        <w:autoSpaceDN/>
        <w:bidi w:val="0"/>
        <w:adjustRightInd/>
        <w:snapToGrid/>
        <w:spacing w:line="580" w:lineRule="exact"/>
        <w:ind w:left="425"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（1）当成本相同时，应选择效</w:t>
      </w:r>
      <w:r>
        <w:rPr>
          <w:rFonts w:hint="eastAsia" w:ascii="仿宋_GB2312" w:hAnsi="仿宋_GB2312" w:eastAsia="仿宋_GB2312" w:cs="仿宋_GB2312"/>
          <w:color w:val="auto"/>
          <w:sz w:val="32"/>
          <w:szCs w:val="32"/>
          <w:lang w:val="en-US" w:eastAsia="zh-CN"/>
        </w:rPr>
        <w:t>益</w:t>
      </w:r>
      <w:r>
        <w:rPr>
          <w:rFonts w:hint="eastAsia" w:ascii="仿宋_GB2312" w:hAnsi="仿宋_GB2312" w:eastAsia="仿宋_GB2312" w:cs="仿宋_GB2312"/>
          <w:color w:val="auto"/>
          <w:sz w:val="32"/>
          <w:szCs w:val="32"/>
        </w:rPr>
        <w:t>高的方案；</w:t>
      </w:r>
    </w:p>
    <w:p w14:paraId="1D6C3F9C">
      <w:pPr>
        <w:pStyle w:val="25"/>
        <w:pageBreakBefore w:val="0"/>
        <w:kinsoku/>
        <w:wordWrap/>
        <w:overflowPunct/>
        <w:topLinePunct w:val="0"/>
        <w:autoSpaceDE/>
        <w:autoSpaceDN/>
        <w:bidi w:val="0"/>
        <w:adjustRightInd/>
        <w:snapToGrid/>
        <w:spacing w:line="580" w:lineRule="exact"/>
        <w:ind w:left="425"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（2）当效</w:t>
      </w:r>
      <w:r>
        <w:rPr>
          <w:rFonts w:hint="eastAsia" w:ascii="仿宋_GB2312" w:hAnsi="仿宋_GB2312" w:eastAsia="仿宋_GB2312" w:cs="仿宋_GB2312"/>
          <w:color w:val="auto"/>
          <w:sz w:val="32"/>
          <w:szCs w:val="32"/>
          <w:lang w:val="en-US" w:eastAsia="zh-CN"/>
        </w:rPr>
        <w:t>益</w:t>
      </w:r>
      <w:r>
        <w:rPr>
          <w:rFonts w:hint="eastAsia" w:ascii="仿宋_GB2312" w:hAnsi="仿宋_GB2312" w:eastAsia="仿宋_GB2312" w:cs="仿宋_GB2312"/>
          <w:color w:val="auto"/>
          <w:sz w:val="32"/>
          <w:szCs w:val="32"/>
        </w:rPr>
        <w:t>相同时，应选择成本低的方案；</w:t>
      </w:r>
    </w:p>
    <w:p w14:paraId="034BAB10">
      <w:pPr>
        <w:pStyle w:val="25"/>
        <w:pageBreakBefore w:val="0"/>
        <w:kinsoku/>
        <w:wordWrap/>
        <w:overflowPunct/>
        <w:topLinePunct w:val="0"/>
        <w:autoSpaceDE/>
        <w:autoSpaceDN/>
        <w:bidi w:val="0"/>
        <w:adjustRightInd/>
        <w:snapToGrid/>
        <w:spacing w:line="580" w:lineRule="exact"/>
        <w:ind w:left="425"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（3）当效</w:t>
      </w:r>
      <w:r>
        <w:rPr>
          <w:rFonts w:hint="eastAsia" w:ascii="仿宋_GB2312" w:hAnsi="仿宋_GB2312" w:eastAsia="仿宋_GB2312" w:cs="仿宋_GB2312"/>
          <w:color w:val="auto"/>
          <w:sz w:val="32"/>
          <w:szCs w:val="32"/>
          <w:lang w:val="en-US" w:eastAsia="zh-CN"/>
        </w:rPr>
        <w:t>益</w:t>
      </w:r>
      <w:r>
        <w:rPr>
          <w:rFonts w:hint="eastAsia" w:ascii="仿宋_GB2312" w:hAnsi="仿宋_GB2312" w:eastAsia="仿宋_GB2312" w:cs="仿宋_GB2312"/>
          <w:color w:val="auto"/>
          <w:sz w:val="32"/>
          <w:szCs w:val="32"/>
        </w:rPr>
        <w:t>提高而成本成加大时，应选择增效的单位追加成本低的方案。</w:t>
      </w:r>
    </w:p>
    <w:p w14:paraId="52E79B6A">
      <w:pPr>
        <w:pStyle w:val="25"/>
        <w:pageBreakBefore w:val="0"/>
        <w:kinsoku/>
        <w:wordWrap/>
        <w:overflowPunct/>
        <w:topLinePunct w:val="0"/>
        <w:autoSpaceDE/>
        <w:autoSpaceDN/>
        <w:bidi w:val="0"/>
        <w:adjustRightInd/>
        <w:snapToGrid/>
        <w:spacing w:line="580" w:lineRule="exact"/>
        <w:ind w:left="425" w:firstLine="640"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z w:val="32"/>
          <w:szCs w:val="32"/>
          <w:lang w:val="en-US" w:eastAsia="zh-CN"/>
        </w:rPr>
        <w:t xml:space="preserve">   该项目</w:t>
      </w:r>
      <w:r>
        <w:rPr>
          <w:rFonts w:hint="eastAsia" w:ascii="仿宋_GB2312" w:hAnsi="仿宋_GB2312" w:eastAsia="仿宋_GB2312" w:cs="仿宋_GB2312"/>
          <w:color w:val="auto"/>
          <w:sz w:val="32"/>
          <w:szCs w:val="32"/>
        </w:rPr>
        <w:t>成本效</w:t>
      </w:r>
      <w:r>
        <w:rPr>
          <w:rFonts w:hint="eastAsia" w:ascii="仿宋_GB2312" w:hAnsi="仿宋_GB2312" w:eastAsia="仿宋_GB2312" w:cs="仿宋_GB2312"/>
          <w:color w:val="auto"/>
          <w:sz w:val="32"/>
          <w:szCs w:val="32"/>
          <w:lang w:val="en-US" w:eastAsia="zh-CN"/>
        </w:rPr>
        <w:t>益</w:t>
      </w:r>
      <w:r>
        <w:rPr>
          <w:rFonts w:hint="eastAsia" w:ascii="仿宋_GB2312" w:hAnsi="仿宋_GB2312" w:eastAsia="仿宋_GB2312" w:cs="仿宋_GB2312"/>
          <w:color w:val="auto"/>
          <w:sz w:val="32"/>
          <w:szCs w:val="32"/>
        </w:rPr>
        <w:t>分析</w:t>
      </w:r>
      <w:r>
        <w:rPr>
          <w:rFonts w:hint="eastAsia" w:ascii="仿宋_GB2312" w:hAnsi="仿宋_GB2312" w:eastAsia="仿宋_GB2312" w:cs="仿宋_GB2312"/>
          <w:color w:val="auto"/>
          <w:sz w:val="32"/>
          <w:szCs w:val="32"/>
          <w:lang w:val="en-US" w:eastAsia="zh-CN"/>
        </w:rPr>
        <w:t>选用第二种方案。</w:t>
      </w:r>
    </w:p>
    <w:p w14:paraId="70B68543">
      <w:pPr>
        <w:pStyle w:val="11"/>
        <w:pageBreakBefore w:val="0"/>
        <w:widowControl w:val="0"/>
        <w:kinsoku/>
        <w:wordWrap/>
        <w:overflowPunct/>
        <w:topLinePunct w:val="0"/>
        <w:autoSpaceDE/>
        <w:autoSpaceDN/>
        <w:bidi w:val="0"/>
        <w:adjustRightInd/>
        <w:snapToGrid/>
        <w:spacing w:before="0" w:after="0" w:line="580" w:lineRule="exact"/>
        <w:ind w:firstLine="640" w:firstLineChars="200"/>
        <w:jc w:val="both"/>
        <w:textAlignment w:val="auto"/>
        <w:outlineLvl w:val="9"/>
        <w:rPr>
          <w:rFonts w:hint="eastAsia"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4</w:t>
      </w:r>
      <w:r>
        <w:rPr>
          <w:rFonts w:hint="eastAsia" w:ascii="仿宋_GB2312" w:hAnsi="仿宋_GB2312" w:eastAsia="仿宋_GB2312" w:cs="仿宋_GB2312"/>
          <w:b/>
          <w:bCs/>
          <w:sz w:val="32"/>
          <w:szCs w:val="32"/>
          <w:highlight w:val="none"/>
          <w:lang w:val="en-US" w:eastAsia="zh-CN"/>
        </w:rPr>
        <w:t>.</w:t>
      </w:r>
      <w:r>
        <w:rPr>
          <w:rFonts w:hint="eastAsia" w:ascii="仿宋_GB2312" w:hAnsi="仿宋_GB2312" w:eastAsia="仿宋_GB2312" w:cs="仿宋_GB2312"/>
          <w:b w:val="0"/>
          <w:bCs w:val="0"/>
          <w:highlight w:val="none"/>
        </w:rPr>
        <w:t>评价标准</w:t>
      </w:r>
    </w:p>
    <w:p w14:paraId="3D74B82B">
      <w:pPr>
        <w:pStyle w:val="11"/>
        <w:pageBreakBefore w:val="0"/>
        <w:widowControl w:val="0"/>
        <w:kinsoku/>
        <w:wordWrap/>
        <w:overflowPunct/>
        <w:topLinePunct w:val="0"/>
        <w:autoSpaceDE/>
        <w:autoSpaceDN/>
        <w:bidi w:val="0"/>
        <w:adjustRightInd/>
        <w:snapToGrid/>
        <w:spacing w:before="0" w:after="0" w:line="580" w:lineRule="exact"/>
        <w:ind w:firstLine="640" w:firstLineChars="200"/>
        <w:jc w:val="both"/>
        <w:textAlignment w:val="auto"/>
        <w:outlineLvl w:val="9"/>
        <w:rPr>
          <w:rFonts w:hint="eastAsia" w:ascii="仿宋_GB2312" w:hAnsi="仿宋_GB2312" w:eastAsia="仿宋_GB2312" w:cs="仿宋_GB2312"/>
          <w:b w:val="0"/>
          <w:bCs w:val="0"/>
        </w:rPr>
      </w:pPr>
      <w:r>
        <w:rPr>
          <w:rFonts w:hint="eastAsia" w:ascii="仿宋_GB2312" w:hAnsi="仿宋_GB2312" w:eastAsia="仿宋_GB2312" w:cs="仿宋_GB2312"/>
          <w:b w:val="0"/>
          <w:bCs w:val="0"/>
        </w:rPr>
        <w:t>绩效评价标准通常包括计划标准、行业标准、历史标准等，用于对绩效指标完成情况进行比较、分析、评价。本次评价主要采用了计划标准。</w:t>
      </w:r>
    </w:p>
    <w:p w14:paraId="4D62EEE3">
      <w:pPr>
        <w:pStyle w:val="11"/>
        <w:pageBreakBefore w:val="0"/>
        <w:widowControl w:val="0"/>
        <w:kinsoku/>
        <w:wordWrap/>
        <w:overflowPunct/>
        <w:topLinePunct w:val="0"/>
        <w:autoSpaceDE/>
        <w:autoSpaceDN/>
        <w:bidi w:val="0"/>
        <w:adjustRightInd/>
        <w:snapToGrid/>
        <w:spacing w:before="0" w:after="0" w:line="580" w:lineRule="exact"/>
        <w:ind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1</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计划标准。指以预先制定的目标、计划、预算、定额等作为评价标准。</w:t>
      </w:r>
    </w:p>
    <w:p w14:paraId="62E80DCA">
      <w:pPr>
        <w:pStyle w:val="11"/>
        <w:pageBreakBefore w:val="0"/>
        <w:widowControl w:val="0"/>
        <w:kinsoku/>
        <w:wordWrap/>
        <w:overflowPunct/>
        <w:topLinePunct w:val="0"/>
        <w:autoSpaceDE/>
        <w:autoSpaceDN/>
        <w:bidi w:val="0"/>
        <w:adjustRightInd/>
        <w:snapToGrid/>
        <w:spacing w:before="0" w:after="0" w:line="580" w:lineRule="exact"/>
        <w:ind w:firstLine="711" w:firstLineChars="200"/>
        <w:jc w:val="both"/>
        <w:textAlignment w:val="auto"/>
        <w:outlineLvl w:val="9"/>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14:paraId="7D6E8B41">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rPr>
        <w:t>前期准备与规划</w:t>
      </w:r>
    </w:p>
    <w:p w14:paraId="10EC7659">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14:paraId="7F900A6E">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lang w:eastAsia="zh-CN"/>
        </w:rPr>
        <w:t>指标体系构建</w:t>
      </w:r>
    </w:p>
    <w:p w14:paraId="0F57C516">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依据项目的性质、目标以及预期成果，构建了科学合理的绩效评价指标体系。该指标体系涵盖了</w:t>
      </w:r>
      <w:r>
        <w:rPr>
          <w:rFonts w:hint="eastAsia" w:ascii="仿宋_GB2312" w:hAnsi="仿宋_GB2312" w:eastAsia="仿宋_GB2312" w:cs="仿宋_GB2312"/>
          <w:color w:val="000000"/>
          <w:spacing w:val="17"/>
          <w:sz w:val="32"/>
          <w:szCs w:val="32"/>
          <w:highlight w:val="none"/>
        </w:rPr>
        <w:t>项目决策、项目过程、项目产出、项目效益四个维度</w:t>
      </w:r>
      <w:r>
        <w:rPr>
          <w:rFonts w:hint="eastAsia" w:ascii="仿宋_GB2312" w:hAnsi="仿宋_GB2312" w:eastAsia="仿宋_GB2312" w:cs="仿宋_GB2312"/>
          <w:sz w:val="32"/>
          <w:szCs w:val="32"/>
          <w:highlight w:val="none"/>
          <w:lang w:eastAsia="zh-CN"/>
        </w:rPr>
        <w:t>，选取了具有代表性和可衡量性的关键指标，并为每个指标设定了明确的评价标准与权重，确保评价结果能够全面、准确地反映项目的绩效状况。</w:t>
      </w:r>
    </w:p>
    <w:p w14:paraId="7FA53CFB">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lang w:eastAsia="zh-CN"/>
        </w:rPr>
        <w:t>数据收集与整理</w:t>
      </w:r>
    </w:p>
    <w:p w14:paraId="10B4683E">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14:paraId="75766951">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lang w:eastAsia="zh-CN"/>
        </w:rPr>
        <w:t>数据分析与评估</w:t>
      </w:r>
    </w:p>
    <w:p w14:paraId="3090F5DF">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179C1490">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lang w:eastAsia="zh-CN"/>
        </w:rPr>
        <w:t>报告撰写与反馈</w:t>
      </w:r>
    </w:p>
    <w:p w14:paraId="1985427A">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1091D54D">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6.</w:t>
      </w:r>
      <w:r>
        <w:rPr>
          <w:rFonts w:hint="eastAsia" w:ascii="仿宋_GB2312" w:hAnsi="仿宋_GB2312" w:eastAsia="仿宋_GB2312" w:cs="仿宋_GB2312"/>
          <w:sz w:val="32"/>
          <w:szCs w:val="32"/>
          <w:highlight w:val="none"/>
          <w:lang w:eastAsia="zh-CN"/>
        </w:rPr>
        <w:t>后续跟踪与改进</w:t>
      </w:r>
    </w:p>
    <w:p w14:paraId="379BDE25">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3B98AA14">
      <w:pPr>
        <w:pageBreakBefore w:val="0"/>
        <w:numPr>
          <w:ilvl w:val="0"/>
          <w:numId w:val="3"/>
        </w:numP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14:paraId="51A8C286">
      <w:pPr>
        <w:pStyle w:val="11"/>
        <w:keepNext w:val="0"/>
        <w:keepLines w:val="0"/>
        <w:pageBreakBefore w:val="0"/>
        <w:widowControl/>
        <w:kinsoku/>
        <w:wordWrap/>
        <w:overflowPunct/>
        <w:topLinePunct w:val="0"/>
        <w:autoSpaceDE/>
        <w:autoSpaceDN/>
        <w:bidi w:val="0"/>
        <w:adjustRightInd/>
        <w:snapToGrid/>
        <w:spacing w:before="0" w:after="0" w:line="58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14:paraId="514EFD67">
      <w:pPr>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highlight w:val="green"/>
        </w:rPr>
      </w:pPr>
      <w:r>
        <w:rPr>
          <w:rFonts w:hint="eastAsia" w:ascii="仿宋_GB2312" w:hAnsi="仿宋_GB2312" w:eastAsia="仿宋_GB2312" w:cs="仿宋_GB2312"/>
          <w:sz w:val="32"/>
          <w:szCs w:val="32"/>
          <w:highlight w:val="none"/>
        </w:rPr>
        <w:t>本项目的综合评价基于对项目各方面绩效的深入分析与评估。从项目目标的达成情况来看，</w:t>
      </w:r>
      <w:r>
        <w:rPr>
          <w:rFonts w:hint="eastAsia" w:ascii="仿宋_GB2312" w:hAnsi="仿宋_GB2312" w:eastAsia="仿宋_GB2312" w:cs="仿宋_GB2312"/>
          <w:kern w:val="0"/>
          <w:sz w:val="32"/>
          <w:szCs w:val="32"/>
          <w:highlight w:val="none"/>
        </w:rPr>
        <w:t>无线电业务运维项目</w:t>
      </w:r>
      <w:r>
        <w:rPr>
          <w:rFonts w:hint="eastAsia" w:ascii="仿宋_GB2312" w:hAnsi="仿宋_GB2312" w:eastAsia="仿宋_GB2312" w:cs="仿宋_GB2312"/>
          <w:sz w:val="32"/>
          <w:szCs w:val="32"/>
        </w:rPr>
        <w:t>提升</w:t>
      </w:r>
      <w:r>
        <w:rPr>
          <w:rFonts w:hint="eastAsia" w:ascii="仿宋_GB2312" w:hAnsi="仿宋_GB2312" w:eastAsia="仿宋_GB2312" w:cs="仿宋_GB2312"/>
          <w:sz w:val="32"/>
          <w:szCs w:val="32"/>
          <w:lang w:val="en-US" w:eastAsia="zh-CN"/>
        </w:rPr>
        <w:t>了5G信号干扰监测</w:t>
      </w:r>
      <w:r>
        <w:rPr>
          <w:rFonts w:hint="eastAsia" w:ascii="仿宋_GB2312" w:hAnsi="仿宋_GB2312" w:eastAsia="仿宋_GB2312" w:cs="仿宋_GB2312"/>
          <w:sz w:val="32"/>
          <w:szCs w:val="32"/>
        </w:rPr>
        <w:t>及</w:t>
      </w:r>
      <w:r>
        <w:rPr>
          <w:rFonts w:hint="eastAsia" w:ascii="仿宋_GB2312" w:hAnsi="仿宋_GB2312" w:eastAsia="仿宋_GB2312" w:cs="仿宋_GB2312"/>
          <w:sz w:val="32"/>
          <w:szCs w:val="32"/>
          <w:lang w:val="en-US" w:eastAsia="zh-CN"/>
        </w:rPr>
        <w:t>ISM全波段信号分析能力，</w:t>
      </w:r>
      <w:r>
        <w:rPr>
          <w:rFonts w:hint="eastAsia" w:ascii="仿宋_GB2312" w:hAnsi="仿宋_GB2312" w:eastAsia="仿宋_GB2312" w:cs="仿宋_GB2312"/>
          <w:sz w:val="32"/>
          <w:szCs w:val="32"/>
        </w:rPr>
        <w:t>为复杂电磁环境提供可靠的无线电监测</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信号测量分析等</w:t>
      </w:r>
      <w:r>
        <w:rPr>
          <w:rFonts w:hint="eastAsia" w:ascii="仿宋_GB2312" w:hAnsi="仿宋_GB2312" w:eastAsia="仿宋_GB2312" w:cs="仿宋_GB2312"/>
          <w:sz w:val="32"/>
          <w:szCs w:val="32"/>
          <w:highlight w:val="none"/>
        </w:rPr>
        <w:t>方面表现出色，达到了预期的标准与要求。同时，项目也在</w:t>
      </w:r>
      <w:r>
        <w:rPr>
          <w:rFonts w:hint="eastAsia" w:ascii="仿宋_GB2312" w:hAnsi="仿宋_GB2312" w:eastAsia="仿宋_GB2312" w:cs="仿宋_GB2312"/>
          <w:sz w:val="32"/>
          <w:szCs w:val="32"/>
        </w:rPr>
        <w:t>快速查处影响5G基站正常通信的违法行为，维护良好的电波秩序</w:t>
      </w:r>
      <w:r>
        <w:rPr>
          <w:rFonts w:hint="eastAsia" w:ascii="仿宋_GB2312" w:hAnsi="仿宋_GB2312" w:eastAsia="仿宋_GB2312" w:cs="仿宋_GB2312"/>
          <w:sz w:val="32"/>
          <w:szCs w:val="32"/>
          <w:highlight w:val="none"/>
        </w:rPr>
        <w:t>取得了显著的成效。</w:t>
      </w:r>
    </w:p>
    <w:p w14:paraId="0FD65D81">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8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在项目管理方面，</w:t>
      </w:r>
      <w:r>
        <w:rPr>
          <w:rFonts w:hint="eastAsia" w:ascii="仿宋_GB2312" w:hAnsi="仿宋_GB2312" w:eastAsia="仿宋_GB2312" w:cs="仿宋_GB2312"/>
          <w:b w:val="0"/>
          <w:bCs w:val="0"/>
          <w:sz w:val="32"/>
          <w:szCs w:val="32"/>
          <w:lang w:val="en-US" w:eastAsia="zh-CN"/>
        </w:rPr>
        <w:t>伊犁哈萨克自治州无线电管理局</w:t>
      </w:r>
      <w:r>
        <w:rPr>
          <w:rFonts w:hint="eastAsia" w:ascii="仿宋_GB2312" w:hAnsi="仿宋_GB2312" w:eastAsia="仿宋_GB2312" w:cs="仿宋_GB2312"/>
          <w:sz w:val="32"/>
          <w:szCs w:val="32"/>
          <w:highlight w:val="none"/>
        </w:rPr>
        <w:t>通过有效的规划、组织与协调，项目得以顺利实施，并在预算与时间上保持了良好的控制。</w:t>
      </w:r>
    </w:p>
    <w:p w14:paraId="37EE1DB8">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8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从项目效益的角度来看，本项目不仅实现了预期的</w:t>
      </w:r>
      <w:r>
        <w:rPr>
          <w:rFonts w:hint="eastAsia" w:ascii="仿宋_GB2312" w:hAnsi="仿宋_GB2312" w:eastAsia="仿宋_GB2312" w:cs="仿宋_GB2312"/>
          <w:sz w:val="32"/>
          <w:szCs w:val="32"/>
          <w:highlight w:val="none"/>
          <w:lang w:val="en-US" w:eastAsia="zh-CN"/>
        </w:rPr>
        <w:t>经济效益</w:t>
      </w:r>
      <w:r>
        <w:rPr>
          <w:rFonts w:hint="eastAsia" w:ascii="仿宋_GB2312" w:hAnsi="仿宋_GB2312" w:eastAsia="仿宋_GB2312" w:cs="仿宋_GB2312"/>
          <w:sz w:val="32"/>
          <w:szCs w:val="32"/>
          <w:highlight w:val="none"/>
        </w:rPr>
        <w:t>方面产生了积极的影响。具体而言，</w:t>
      </w:r>
      <w:r>
        <w:rPr>
          <w:rFonts w:hint="eastAsia" w:ascii="仿宋_GB2312" w:hAnsi="仿宋_GB2312" w:eastAsia="仿宋_GB2312" w:cs="仿宋_GB2312"/>
          <w:color w:val="auto"/>
          <w:sz w:val="32"/>
          <w:szCs w:val="32"/>
          <w:lang w:val="en-US" w:eastAsia="zh-CN"/>
        </w:rPr>
        <w:t>能够满足</w:t>
      </w:r>
      <w:r>
        <w:rPr>
          <w:rFonts w:hint="eastAsia" w:ascii="仿宋_GB2312" w:hAnsi="仿宋_GB2312" w:eastAsia="仿宋_GB2312" w:cs="仿宋_GB2312"/>
          <w:sz w:val="32"/>
          <w:szCs w:val="32"/>
        </w:rPr>
        <w:t>5G频段电磁环境的保护性监测，</w:t>
      </w:r>
      <w:r>
        <w:rPr>
          <w:rFonts w:hint="eastAsia" w:ascii="仿宋_GB2312" w:hAnsi="仿宋_GB2312" w:eastAsia="仿宋_GB2312" w:cs="仿宋_GB2312"/>
          <w:sz w:val="32"/>
          <w:szCs w:val="32"/>
          <w:lang w:val="en-US" w:eastAsia="zh-CN"/>
        </w:rPr>
        <w:t>保证伊犁州直</w:t>
      </w:r>
      <w:r>
        <w:rPr>
          <w:rFonts w:hint="eastAsia" w:ascii="仿宋_GB2312" w:hAnsi="仿宋_GB2312" w:eastAsia="仿宋_GB2312" w:cs="仿宋_GB2312"/>
          <w:sz w:val="32"/>
          <w:szCs w:val="32"/>
        </w:rPr>
        <w:t>5G专用网络通信安全，及时发现并排除安全隐患，保证5G基站正常运行</w:t>
      </w:r>
      <w:r>
        <w:rPr>
          <w:rFonts w:hint="eastAsia" w:ascii="仿宋_GB2312" w:hAnsi="仿宋_GB2312" w:eastAsia="仿宋_GB2312" w:cs="仿宋_GB2312"/>
          <w:sz w:val="32"/>
          <w:szCs w:val="32"/>
          <w:lang w:val="en-US" w:eastAsia="zh-CN"/>
        </w:rPr>
        <w:t>。</w:t>
      </w:r>
    </w:p>
    <w:p w14:paraId="3299C834">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8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综上所述，</w:t>
      </w:r>
      <w:r>
        <w:rPr>
          <w:rFonts w:hint="eastAsia" w:ascii="仿宋_GB2312" w:hAnsi="仿宋_GB2312" w:eastAsia="仿宋_GB2312" w:cs="仿宋_GB2312"/>
          <w:kern w:val="0"/>
          <w:sz w:val="32"/>
          <w:szCs w:val="32"/>
          <w:highlight w:val="none"/>
        </w:rPr>
        <w:t>无线电业务运维项目</w:t>
      </w:r>
      <w:r>
        <w:rPr>
          <w:rFonts w:hint="eastAsia" w:ascii="仿宋_GB2312" w:hAnsi="仿宋_GB2312" w:eastAsia="仿宋_GB2312" w:cs="仿宋_GB2312"/>
          <w:sz w:val="32"/>
          <w:szCs w:val="32"/>
          <w:highlight w:val="none"/>
        </w:rPr>
        <w:t>在绩效评价中表现出色，达到了项目的预期目标，并在多个方面取得了显著的成效。</w:t>
      </w:r>
    </w:p>
    <w:p w14:paraId="2947B170">
      <w:pPr>
        <w:pStyle w:val="11"/>
        <w:keepNext w:val="0"/>
        <w:keepLines w:val="0"/>
        <w:pageBreakBefore w:val="0"/>
        <w:widowControl/>
        <w:kinsoku/>
        <w:wordWrap/>
        <w:overflowPunct/>
        <w:topLinePunct w:val="0"/>
        <w:autoSpaceDE/>
        <w:autoSpaceDN/>
        <w:bidi w:val="0"/>
        <w:adjustRightInd/>
        <w:snapToGrid/>
        <w:spacing w:before="0" w:after="0" w:line="58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14:paraId="4B23B7BF">
      <w:pPr>
        <w:pStyle w:val="11"/>
        <w:pageBreakBefore w:val="0"/>
        <w:widowControl w:val="0"/>
        <w:kinsoku/>
        <w:wordWrap/>
        <w:overflowPunct/>
        <w:topLinePunct w:val="0"/>
        <w:autoSpaceDE/>
        <w:autoSpaceDN/>
        <w:bidi w:val="0"/>
        <w:adjustRightInd/>
        <w:snapToGrid/>
        <w:spacing w:before="0" w:after="0" w:line="580" w:lineRule="exact"/>
        <w:ind w:firstLine="640" w:firstLineChars="200"/>
        <w:jc w:val="both"/>
        <w:textAlignment w:val="auto"/>
        <w:outlineLvl w:val="9"/>
        <w:rPr>
          <w:rFonts w:hint="default" w:ascii="Times New Roman" w:hAnsi="Times New Roman" w:eastAsia="仿宋_GB2312" w:cs="Times New Roman"/>
          <w:b w:val="0"/>
          <w:bCs w:val="0"/>
          <w:lang w:eastAsia="zh-CN"/>
        </w:rPr>
      </w:pPr>
      <w:r>
        <w:rPr>
          <w:rFonts w:hint="eastAsia" w:ascii="仿宋_GB2312" w:hAnsi="仿宋_GB2312" w:eastAsia="仿宋_GB2312" w:cs="仿宋_GB2312"/>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eastAsia" w:ascii="仿宋_GB2312" w:hAnsi="仿宋_GB2312" w:eastAsia="仿宋_GB2312" w:cs="仿宋_GB2312"/>
          <w:b w:val="0"/>
          <w:bCs w:val="0"/>
          <w:sz w:val="32"/>
          <w:szCs w:val="32"/>
          <w:highlight w:val="none"/>
        </w:rPr>
        <w:t xml:space="preserve">：总得分为 </w:t>
      </w:r>
      <w:r>
        <w:rPr>
          <w:rFonts w:hint="eastAsia" w:ascii="仿宋_GB2312" w:hAnsi="仿宋_GB2312" w:eastAsia="仿宋_GB2312" w:cs="仿宋_GB2312"/>
          <w:b w:val="0"/>
          <w:bCs w:val="0"/>
          <w:sz w:val="32"/>
          <w:szCs w:val="32"/>
          <w:highlight w:val="none"/>
          <w:lang w:val="en-US" w:eastAsia="zh-CN"/>
        </w:rPr>
        <w:t>99.50</w:t>
      </w:r>
      <w:r>
        <w:rPr>
          <w:rFonts w:hint="eastAsia" w:ascii="仿宋_GB2312" w:hAnsi="仿宋_GB2312" w:eastAsia="仿宋_GB2312" w:cs="仿宋_GB2312"/>
          <w:b w:val="0"/>
          <w:bCs w:val="0"/>
          <w:sz w:val="32"/>
          <w:szCs w:val="32"/>
          <w:highlight w:val="none"/>
        </w:rPr>
        <w:t xml:space="preserve">分，属于“优”。其中，项目决策类指标权重为20分，得分为 </w:t>
      </w:r>
      <w:r>
        <w:rPr>
          <w:rFonts w:hint="eastAsia" w:ascii="仿宋_GB2312" w:hAnsi="仿宋_GB2312" w:eastAsia="仿宋_GB2312" w:cs="仿宋_GB2312"/>
          <w:b w:val="0"/>
          <w:bCs w:val="0"/>
          <w:sz w:val="32"/>
          <w:szCs w:val="32"/>
          <w:highlight w:val="none"/>
          <w:lang w:val="en-US" w:eastAsia="zh-CN"/>
        </w:rPr>
        <w:t>20</w:t>
      </w:r>
      <w:r>
        <w:rPr>
          <w:rFonts w:hint="eastAsia" w:ascii="仿宋_GB2312" w:hAnsi="仿宋_GB2312" w:eastAsia="仿宋_GB2312" w:cs="仿宋_GB2312"/>
          <w:b w:val="0"/>
          <w:bCs w:val="0"/>
          <w:sz w:val="32"/>
          <w:szCs w:val="32"/>
          <w:highlight w:val="none"/>
        </w:rPr>
        <w:t xml:space="preserve">分，得分率为 </w:t>
      </w:r>
      <w:r>
        <w:rPr>
          <w:rFonts w:hint="eastAsia" w:ascii="仿宋_GB2312" w:hAnsi="仿宋_GB2312" w:eastAsia="仿宋_GB2312" w:cs="仿宋_GB2312"/>
          <w:b w:val="0"/>
          <w:bCs w:val="0"/>
          <w:sz w:val="32"/>
          <w:szCs w:val="32"/>
          <w:highlight w:val="none"/>
          <w:lang w:val="en-US" w:eastAsia="zh-CN"/>
        </w:rPr>
        <w:t>100</w:t>
      </w:r>
      <w:r>
        <w:rPr>
          <w:rFonts w:hint="eastAsia" w:ascii="仿宋_GB2312" w:hAnsi="仿宋_GB2312" w:eastAsia="仿宋_GB2312" w:cs="仿宋_GB2312"/>
          <w:b w:val="0"/>
          <w:bCs w:val="0"/>
          <w:sz w:val="32"/>
          <w:szCs w:val="32"/>
          <w:highlight w:val="none"/>
        </w:rPr>
        <w:t>%。项目过程类指标权重为20分，得分为</w:t>
      </w:r>
      <w:r>
        <w:rPr>
          <w:rFonts w:hint="eastAsia" w:ascii="仿宋_GB2312" w:hAnsi="仿宋_GB2312" w:eastAsia="仿宋_GB2312" w:cs="仿宋_GB2312"/>
          <w:b w:val="0"/>
          <w:bCs w:val="0"/>
          <w:sz w:val="32"/>
          <w:szCs w:val="32"/>
          <w:highlight w:val="none"/>
          <w:lang w:val="en-US" w:eastAsia="zh-CN"/>
        </w:rPr>
        <w:t>19.5</w:t>
      </w:r>
      <w:r>
        <w:rPr>
          <w:rFonts w:hint="eastAsia" w:ascii="仿宋_GB2312" w:hAnsi="仿宋_GB2312" w:eastAsia="仿宋_GB2312" w:cs="仿宋_GB2312"/>
          <w:b w:val="0"/>
          <w:bCs w:val="0"/>
          <w:sz w:val="32"/>
          <w:szCs w:val="32"/>
          <w:highlight w:val="none"/>
        </w:rPr>
        <w:t xml:space="preserve">分，得分率为 </w:t>
      </w:r>
      <w:r>
        <w:rPr>
          <w:rFonts w:hint="eastAsia" w:ascii="仿宋_GB2312" w:hAnsi="仿宋_GB2312" w:eastAsia="仿宋_GB2312" w:cs="仿宋_GB2312"/>
          <w:b w:val="0"/>
          <w:bCs w:val="0"/>
          <w:sz w:val="32"/>
          <w:szCs w:val="32"/>
          <w:highlight w:val="none"/>
          <w:lang w:val="en-US" w:eastAsia="zh-CN"/>
        </w:rPr>
        <w:t>97.50</w:t>
      </w:r>
      <w:r>
        <w:rPr>
          <w:rFonts w:hint="eastAsia" w:ascii="仿宋_GB2312" w:hAnsi="仿宋_GB2312" w:eastAsia="仿宋_GB2312" w:cs="仿宋_GB2312"/>
          <w:b w:val="0"/>
          <w:bCs w:val="0"/>
          <w:sz w:val="32"/>
          <w:szCs w:val="32"/>
          <w:highlight w:val="none"/>
        </w:rPr>
        <w:t>%。项目产出类指标权重为40分，得分为</w:t>
      </w:r>
      <w:r>
        <w:rPr>
          <w:rFonts w:hint="eastAsia" w:ascii="仿宋_GB2312" w:hAnsi="仿宋_GB2312" w:eastAsia="仿宋_GB2312" w:cs="仿宋_GB2312"/>
          <w:b w:val="0"/>
          <w:bCs w:val="0"/>
          <w:sz w:val="32"/>
          <w:szCs w:val="32"/>
          <w:highlight w:val="none"/>
          <w:lang w:val="en-US" w:eastAsia="zh-CN"/>
        </w:rPr>
        <w:t>40</w:t>
      </w:r>
      <w:r>
        <w:rPr>
          <w:rFonts w:hint="eastAsia" w:ascii="仿宋_GB2312" w:hAnsi="仿宋_GB2312" w:eastAsia="仿宋_GB2312" w:cs="仿宋_GB2312"/>
          <w:b w:val="0"/>
          <w:bCs w:val="0"/>
          <w:sz w:val="32"/>
          <w:szCs w:val="32"/>
          <w:highlight w:val="none"/>
        </w:rPr>
        <w:t xml:space="preserve">分，得分率为 </w:t>
      </w:r>
      <w:r>
        <w:rPr>
          <w:rFonts w:hint="eastAsia" w:ascii="仿宋_GB2312" w:hAnsi="仿宋_GB2312" w:eastAsia="仿宋_GB2312" w:cs="仿宋_GB2312"/>
          <w:b w:val="0"/>
          <w:bCs w:val="0"/>
          <w:sz w:val="32"/>
          <w:szCs w:val="32"/>
          <w:highlight w:val="none"/>
          <w:lang w:val="en-US" w:eastAsia="zh-CN"/>
        </w:rPr>
        <w:t>100</w:t>
      </w:r>
      <w:r>
        <w:rPr>
          <w:rFonts w:hint="eastAsia" w:ascii="仿宋_GB2312" w:hAnsi="仿宋_GB2312" w:eastAsia="仿宋_GB2312" w:cs="仿宋_GB2312"/>
          <w:b w:val="0"/>
          <w:bCs w:val="0"/>
          <w:sz w:val="32"/>
          <w:szCs w:val="32"/>
          <w:highlight w:val="none"/>
        </w:rPr>
        <w:t>%。项目效益类指标权重为20分，得分为</w:t>
      </w:r>
      <w:r>
        <w:rPr>
          <w:rFonts w:hint="eastAsia" w:ascii="仿宋_GB2312" w:hAnsi="仿宋_GB2312" w:eastAsia="仿宋_GB2312" w:cs="仿宋_GB2312"/>
          <w:b w:val="0"/>
          <w:bCs w:val="0"/>
          <w:sz w:val="32"/>
          <w:szCs w:val="32"/>
          <w:highlight w:val="none"/>
          <w:lang w:val="en-US" w:eastAsia="zh-CN"/>
        </w:rPr>
        <w:t>20</w:t>
      </w:r>
      <w:r>
        <w:rPr>
          <w:rFonts w:hint="eastAsia" w:ascii="仿宋_GB2312" w:hAnsi="仿宋_GB2312" w:eastAsia="仿宋_GB2312" w:cs="仿宋_GB2312"/>
          <w:b w:val="0"/>
          <w:bCs w:val="0"/>
          <w:sz w:val="32"/>
          <w:szCs w:val="32"/>
          <w:highlight w:val="none"/>
        </w:rPr>
        <w:t>分，得分率为</w:t>
      </w:r>
      <w:r>
        <w:rPr>
          <w:rFonts w:hint="eastAsia" w:ascii="仿宋_GB2312" w:hAnsi="仿宋_GB2312" w:eastAsia="仿宋_GB2312" w:cs="仿宋_GB2312"/>
          <w:b w:val="0"/>
          <w:bCs w:val="0"/>
          <w:sz w:val="32"/>
          <w:szCs w:val="32"/>
          <w:highlight w:val="none"/>
          <w:lang w:val="en-US" w:eastAsia="zh-CN"/>
        </w:rPr>
        <w:t>100</w:t>
      </w:r>
      <w:r>
        <w:rPr>
          <w:rFonts w:hint="eastAsia" w:ascii="仿宋_GB2312" w:hAnsi="仿宋_GB2312" w:eastAsia="仿宋_GB2312" w:cs="仿宋_GB2312"/>
          <w:b w:val="0"/>
          <w:bCs w:val="0"/>
          <w:sz w:val="32"/>
          <w:szCs w:val="32"/>
          <w:highlight w:val="none"/>
        </w:rPr>
        <w:t>%。具体打分情况详见：附件1综合评</w:t>
      </w:r>
      <w:r>
        <w:rPr>
          <w:rFonts w:hint="eastAsia" w:ascii="仿宋_GB2312" w:hAnsi="仿宋_GB2312" w:eastAsia="仿宋_GB2312" w:cs="仿宋_GB2312"/>
          <w:b w:val="0"/>
          <w:bCs w:val="0"/>
        </w:rPr>
        <w:t>分表</w:t>
      </w:r>
      <w:r>
        <w:rPr>
          <w:rFonts w:hint="default" w:ascii="Times New Roman" w:hAnsi="Times New Roman" w:eastAsia="仿宋_GB2312" w:cs="Times New Roman"/>
          <w:b w:val="0"/>
          <w:bCs w:val="0"/>
          <w:lang w:eastAsia="zh-CN"/>
        </w:rPr>
        <w:t>。</w:t>
      </w:r>
    </w:p>
    <w:p w14:paraId="572A8766">
      <w:pPr>
        <w:pStyle w:val="11"/>
        <w:keepNext w:val="0"/>
        <w:keepLines w:val="0"/>
        <w:pageBreakBefore w:val="0"/>
        <w:widowControl/>
        <w:kinsoku/>
        <w:wordWrap/>
        <w:overflowPunct/>
        <w:topLinePunct w:val="0"/>
        <w:autoSpaceDE/>
        <w:autoSpaceDN/>
        <w:bidi w:val="0"/>
        <w:adjustRightInd/>
        <w:snapToGrid/>
        <w:spacing w:before="0" w:after="0" w:line="580" w:lineRule="exact"/>
        <w:ind w:firstLine="422" w:firstLineChars="20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5"/>
        <w:tblW w:w="7583" w:type="dxa"/>
        <w:jc w:val="center"/>
        <w:tblLayout w:type="fixed"/>
        <w:tblCellMar>
          <w:top w:w="0" w:type="dxa"/>
          <w:left w:w="108" w:type="dxa"/>
          <w:bottom w:w="0" w:type="dxa"/>
          <w:right w:w="108" w:type="dxa"/>
        </w:tblCellMar>
      </w:tblPr>
      <w:tblGrid>
        <w:gridCol w:w="3137"/>
        <w:gridCol w:w="2168"/>
        <w:gridCol w:w="2278"/>
      </w:tblGrid>
      <w:tr w14:paraId="61FA5760">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7CF8CB55">
            <w:pPr>
              <w:pageBreakBefore w:val="0"/>
              <w:kinsoku/>
              <w:wordWrap/>
              <w:overflowPunct/>
              <w:topLinePunct w:val="0"/>
              <w:autoSpaceDE/>
              <w:autoSpaceDN/>
              <w:bidi w:val="0"/>
              <w:adjustRightInd/>
              <w:snapToGrid/>
              <w:spacing w:line="580" w:lineRule="exact"/>
              <w:ind w:firstLine="422" w:firstLineChars="200"/>
              <w:jc w:val="center"/>
              <w:textAlignment w:val="auto"/>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372AF49D">
            <w:pPr>
              <w:pageBreakBefore w:val="0"/>
              <w:kinsoku/>
              <w:wordWrap/>
              <w:overflowPunct/>
              <w:topLinePunct w:val="0"/>
              <w:autoSpaceDE/>
              <w:autoSpaceDN/>
              <w:bidi w:val="0"/>
              <w:adjustRightInd/>
              <w:snapToGrid/>
              <w:spacing w:line="580" w:lineRule="exact"/>
              <w:ind w:firstLine="422" w:firstLineChars="200"/>
              <w:jc w:val="center"/>
              <w:textAlignment w:val="auto"/>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15C6320C">
            <w:pPr>
              <w:pageBreakBefore w:val="0"/>
              <w:kinsoku/>
              <w:wordWrap/>
              <w:overflowPunct/>
              <w:topLinePunct w:val="0"/>
              <w:autoSpaceDE/>
              <w:autoSpaceDN/>
              <w:bidi w:val="0"/>
              <w:adjustRightInd/>
              <w:snapToGrid/>
              <w:spacing w:line="580" w:lineRule="exact"/>
              <w:ind w:firstLine="422" w:firstLineChars="200"/>
              <w:jc w:val="center"/>
              <w:textAlignment w:val="auto"/>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r>
      <w:tr w14:paraId="136A4894">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10D863A8">
            <w:pPr>
              <w:pageBreakBefore w:val="0"/>
              <w:kinsoku/>
              <w:wordWrap/>
              <w:overflowPunct/>
              <w:topLinePunct w:val="0"/>
              <w:autoSpaceDE/>
              <w:autoSpaceDN/>
              <w:bidi w:val="0"/>
              <w:adjustRightInd/>
              <w:snapToGrid/>
              <w:spacing w:line="580" w:lineRule="exact"/>
              <w:ind w:firstLine="420" w:firstLineChars="200"/>
              <w:jc w:val="center"/>
              <w:textAlignment w:val="auto"/>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2168" w:type="dxa"/>
            <w:tcBorders>
              <w:top w:val="nil"/>
              <w:left w:val="nil"/>
              <w:bottom w:val="single" w:color="auto" w:sz="4" w:space="0"/>
              <w:right w:val="single" w:color="auto" w:sz="4" w:space="0"/>
            </w:tcBorders>
            <w:shd w:val="clear" w:color="auto" w:fill="auto"/>
            <w:vAlign w:val="center"/>
          </w:tcPr>
          <w:p w14:paraId="2D929309">
            <w:pPr>
              <w:pageBreakBefore w:val="0"/>
              <w:kinsoku/>
              <w:wordWrap/>
              <w:overflowPunct/>
              <w:topLinePunct w:val="0"/>
              <w:autoSpaceDE/>
              <w:autoSpaceDN/>
              <w:bidi w:val="0"/>
              <w:adjustRightInd/>
              <w:snapToGrid/>
              <w:spacing w:line="580" w:lineRule="exact"/>
              <w:ind w:firstLine="420" w:firstLineChars="200"/>
              <w:jc w:val="center"/>
              <w:textAlignment w:val="auto"/>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6CD9B102">
            <w:pPr>
              <w:pageBreakBefore w:val="0"/>
              <w:kinsoku/>
              <w:wordWrap/>
              <w:overflowPunct/>
              <w:topLinePunct w:val="0"/>
              <w:autoSpaceDE/>
              <w:autoSpaceDN/>
              <w:bidi w:val="0"/>
              <w:adjustRightInd/>
              <w:snapToGrid/>
              <w:spacing w:line="580" w:lineRule="exact"/>
              <w:ind w:firstLine="420" w:firstLineChars="200"/>
              <w:jc w:val="center"/>
              <w:textAlignment w:val="auto"/>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14:paraId="2B4E37AB">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29956029">
            <w:pPr>
              <w:pageBreakBefore w:val="0"/>
              <w:kinsoku/>
              <w:wordWrap/>
              <w:overflowPunct/>
              <w:topLinePunct w:val="0"/>
              <w:autoSpaceDE/>
              <w:autoSpaceDN/>
              <w:bidi w:val="0"/>
              <w:adjustRightInd/>
              <w:snapToGrid/>
              <w:spacing w:line="580" w:lineRule="exact"/>
              <w:ind w:firstLine="420" w:firstLineChars="200"/>
              <w:jc w:val="center"/>
              <w:textAlignment w:val="auto"/>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2168" w:type="dxa"/>
            <w:tcBorders>
              <w:top w:val="nil"/>
              <w:left w:val="nil"/>
              <w:bottom w:val="single" w:color="auto" w:sz="4" w:space="0"/>
              <w:right w:val="single" w:color="auto" w:sz="4" w:space="0"/>
            </w:tcBorders>
            <w:shd w:val="clear" w:color="auto" w:fill="auto"/>
            <w:vAlign w:val="center"/>
          </w:tcPr>
          <w:p w14:paraId="18CB3A99">
            <w:pPr>
              <w:pageBreakBefore w:val="0"/>
              <w:kinsoku/>
              <w:wordWrap/>
              <w:overflowPunct/>
              <w:topLinePunct w:val="0"/>
              <w:autoSpaceDE/>
              <w:autoSpaceDN/>
              <w:bidi w:val="0"/>
              <w:adjustRightInd/>
              <w:snapToGrid/>
              <w:spacing w:line="580" w:lineRule="exact"/>
              <w:ind w:firstLine="420" w:firstLineChars="200"/>
              <w:jc w:val="center"/>
              <w:textAlignment w:val="auto"/>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38195D0C">
            <w:pPr>
              <w:pageBreakBefore w:val="0"/>
              <w:kinsoku/>
              <w:wordWrap/>
              <w:overflowPunct/>
              <w:topLinePunct w:val="0"/>
              <w:autoSpaceDE/>
              <w:autoSpaceDN/>
              <w:bidi w:val="0"/>
              <w:adjustRightInd/>
              <w:snapToGrid/>
              <w:spacing w:line="580" w:lineRule="exact"/>
              <w:ind w:firstLine="420" w:firstLineChars="200"/>
              <w:jc w:val="center"/>
              <w:textAlignment w:val="auto"/>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19.5</w:t>
            </w:r>
          </w:p>
        </w:tc>
      </w:tr>
      <w:tr w14:paraId="62A9A63D">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74AA90B5">
            <w:pPr>
              <w:pageBreakBefore w:val="0"/>
              <w:kinsoku/>
              <w:wordWrap/>
              <w:overflowPunct/>
              <w:topLinePunct w:val="0"/>
              <w:autoSpaceDE/>
              <w:autoSpaceDN/>
              <w:bidi w:val="0"/>
              <w:adjustRightInd/>
              <w:snapToGrid/>
              <w:spacing w:line="580" w:lineRule="exact"/>
              <w:ind w:firstLine="420" w:firstLineChars="200"/>
              <w:jc w:val="center"/>
              <w:textAlignment w:val="auto"/>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2168" w:type="dxa"/>
            <w:tcBorders>
              <w:top w:val="nil"/>
              <w:left w:val="nil"/>
              <w:bottom w:val="single" w:color="auto" w:sz="4" w:space="0"/>
              <w:right w:val="single" w:color="auto" w:sz="4" w:space="0"/>
            </w:tcBorders>
            <w:shd w:val="clear" w:color="auto" w:fill="auto"/>
            <w:vAlign w:val="center"/>
          </w:tcPr>
          <w:p w14:paraId="73C513E3">
            <w:pPr>
              <w:pageBreakBefore w:val="0"/>
              <w:kinsoku/>
              <w:wordWrap/>
              <w:overflowPunct/>
              <w:topLinePunct w:val="0"/>
              <w:autoSpaceDE/>
              <w:autoSpaceDN/>
              <w:bidi w:val="0"/>
              <w:adjustRightInd/>
              <w:snapToGrid/>
              <w:spacing w:line="580" w:lineRule="exact"/>
              <w:ind w:firstLine="420" w:firstLineChars="200"/>
              <w:jc w:val="center"/>
              <w:textAlignment w:val="auto"/>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14:paraId="7EF22EC4">
            <w:pPr>
              <w:pageBreakBefore w:val="0"/>
              <w:kinsoku/>
              <w:wordWrap/>
              <w:overflowPunct/>
              <w:topLinePunct w:val="0"/>
              <w:autoSpaceDE/>
              <w:autoSpaceDN/>
              <w:bidi w:val="0"/>
              <w:adjustRightInd/>
              <w:snapToGrid/>
              <w:spacing w:line="580" w:lineRule="exact"/>
              <w:ind w:firstLine="420" w:firstLineChars="200"/>
              <w:jc w:val="center"/>
              <w:textAlignment w:val="auto"/>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40</w:t>
            </w:r>
          </w:p>
        </w:tc>
      </w:tr>
      <w:tr w14:paraId="2050F938">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500CC4A7">
            <w:pPr>
              <w:pageBreakBefore w:val="0"/>
              <w:kinsoku/>
              <w:wordWrap/>
              <w:overflowPunct/>
              <w:topLinePunct w:val="0"/>
              <w:autoSpaceDE/>
              <w:autoSpaceDN/>
              <w:bidi w:val="0"/>
              <w:adjustRightInd/>
              <w:snapToGrid/>
              <w:spacing w:line="580" w:lineRule="exact"/>
              <w:ind w:firstLine="420" w:firstLineChars="200"/>
              <w:jc w:val="center"/>
              <w:textAlignment w:val="auto"/>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2168" w:type="dxa"/>
            <w:tcBorders>
              <w:top w:val="nil"/>
              <w:left w:val="nil"/>
              <w:bottom w:val="single" w:color="auto" w:sz="4" w:space="0"/>
              <w:right w:val="single" w:color="auto" w:sz="4" w:space="0"/>
            </w:tcBorders>
            <w:shd w:val="clear" w:color="auto" w:fill="auto"/>
            <w:vAlign w:val="center"/>
          </w:tcPr>
          <w:p w14:paraId="5F7550B5">
            <w:pPr>
              <w:pageBreakBefore w:val="0"/>
              <w:kinsoku/>
              <w:wordWrap/>
              <w:overflowPunct/>
              <w:topLinePunct w:val="0"/>
              <w:autoSpaceDE/>
              <w:autoSpaceDN/>
              <w:bidi w:val="0"/>
              <w:adjustRightInd/>
              <w:snapToGrid/>
              <w:spacing w:line="580" w:lineRule="exact"/>
              <w:ind w:firstLine="420" w:firstLineChars="200"/>
              <w:jc w:val="center"/>
              <w:textAlignment w:val="auto"/>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797C9432">
            <w:pPr>
              <w:pageBreakBefore w:val="0"/>
              <w:kinsoku/>
              <w:wordWrap/>
              <w:overflowPunct/>
              <w:topLinePunct w:val="0"/>
              <w:autoSpaceDE/>
              <w:autoSpaceDN/>
              <w:bidi w:val="0"/>
              <w:adjustRightInd/>
              <w:snapToGrid/>
              <w:spacing w:line="580" w:lineRule="exact"/>
              <w:ind w:firstLine="420" w:firstLineChars="200"/>
              <w:jc w:val="center"/>
              <w:textAlignment w:val="auto"/>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14:paraId="1B726B43">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0D6DEA9C">
            <w:pPr>
              <w:pageBreakBefore w:val="0"/>
              <w:kinsoku/>
              <w:wordWrap/>
              <w:overflowPunct/>
              <w:topLinePunct w:val="0"/>
              <w:autoSpaceDE/>
              <w:autoSpaceDN/>
              <w:bidi w:val="0"/>
              <w:adjustRightInd/>
              <w:snapToGrid/>
              <w:spacing w:line="580" w:lineRule="exact"/>
              <w:ind w:firstLine="422" w:firstLineChars="200"/>
              <w:jc w:val="center"/>
              <w:textAlignment w:val="auto"/>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2168" w:type="dxa"/>
            <w:tcBorders>
              <w:top w:val="nil"/>
              <w:left w:val="nil"/>
              <w:bottom w:val="single" w:color="auto" w:sz="4" w:space="0"/>
              <w:right w:val="single" w:color="auto" w:sz="4" w:space="0"/>
            </w:tcBorders>
            <w:shd w:val="clear" w:color="auto" w:fill="auto"/>
            <w:vAlign w:val="center"/>
          </w:tcPr>
          <w:p w14:paraId="71BF04FC">
            <w:pPr>
              <w:pageBreakBefore w:val="0"/>
              <w:kinsoku/>
              <w:wordWrap/>
              <w:overflowPunct/>
              <w:topLinePunct w:val="0"/>
              <w:autoSpaceDE/>
              <w:autoSpaceDN/>
              <w:bidi w:val="0"/>
              <w:adjustRightInd/>
              <w:snapToGrid/>
              <w:spacing w:line="580" w:lineRule="exact"/>
              <w:ind w:firstLine="422" w:firstLineChars="200"/>
              <w:jc w:val="center"/>
              <w:textAlignment w:val="auto"/>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14:paraId="3EB3DAE9">
            <w:pPr>
              <w:pageBreakBefore w:val="0"/>
              <w:kinsoku/>
              <w:wordWrap/>
              <w:overflowPunct/>
              <w:topLinePunct w:val="0"/>
              <w:autoSpaceDE/>
              <w:autoSpaceDN/>
              <w:bidi w:val="0"/>
              <w:adjustRightInd/>
              <w:snapToGrid/>
              <w:spacing w:line="580" w:lineRule="exact"/>
              <w:ind w:firstLine="422" w:firstLineChars="200"/>
              <w:jc w:val="center"/>
              <w:textAlignment w:val="auto"/>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99.50</w:t>
            </w:r>
          </w:p>
        </w:tc>
      </w:tr>
    </w:tbl>
    <w:p w14:paraId="14AAC49F">
      <w:pPr>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14:paraId="05995B83">
      <w:pPr>
        <w:pStyle w:val="11"/>
        <w:pageBreakBefore w:val="0"/>
        <w:kinsoku/>
        <w:wordWrap/>
        <w:overflowPunct/>
        <w:topLinePunct w:val="0"/>
        <w:autoSpaceDE/>
        <w:autoSpaceDN/>
        <w:bidi w:val="0"/>
        <w:adjustRightInd/>
        <w:snapToGrid/>
        <w:spacing w:before="0" w:after="0" w:line="580" w:lineRule="exact"/>
        <w:ind w:firstLine="643" w:firstLineChars="200"/>
        <w:jc w:val="both"/>
        <w:textAlignment w:val="auto"/>
        <w:rPr>
          <w:rFonts w:hint="default" w:ascii="Times New Roman" w:hAnsi="Times New Roman" w:eastAsia="楷体_GB2312" w:cs="Times New Roman"/>
          <w:highlight w:val="none"/>
        </w:rPr>
      </w:pPr>
      <w:r>
        <w:rPr>
          <w:rFonts w:hint="default" w:ascii="Times New Roman" w:hAnsi="Times New Roman" w:eastAsia="楷体_GB2312" w:cs="Times New Roman"/>
          <w:highlight w:val="none"/>
        </w:rPr>
        <w:t>（一）项目决策情况</w:t>
      </w:r>
    </w:p>
    <w:p w14:paraId="28A07B85">
      <w:pPr>
        <w:pageBreakBefore w:val="0"/>
        <w:shd w:val="clear"/>
        <w:kinsoku/>
        <w:wordWrap/>
        <w:overflowPunct/>
        <w:topLinePunct w:val="0"/>
        <w:autoSpaceDE/>
        <w:autoSpaceDN/>
        <w:bidi w:val="0"/>
        <w:adjustRightInd/>
        <w:snapToGrid/>
        <w:spacing w:line="58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项目决策类指标包括项目立项、绩效目标和资金投入三方面的内容，由6个三级指标构成，权重分值为20分，实际得分20分，得分率为100%。</w:t>
      </w:r>
    </w:p>
    <w:p w14:paraId="73062B95">
      <w:pPr>
        <w:pStyle w:val="20"/>
        <w:keepNext w:val="0"/>
        <w:keepLines w:val="0"/>
        <w:pageBreakBefore w:val="0"/>
        <w:widowControl w:val="0"/>
        <w:shd w:val="clear"/>
        <w:kinsoku/>
        <w:wordWrap/>
        <w:overflowPunct/>
        <w:topLinePunct w:val="0"/>
        <w:autoSpaceDE/>
        <w:autoSpaceDN/>
        <w:bidi w:val="0"/>
        <w:adjustRightInd/>
        <w:snapToGrid/>
        <w:spacing w:line="580" w:lineRule="exact"/>
        <w:ind w:left="0" w:leftChars="0" w:firstLine="643" w:firstLineChars="20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14:paraId="611233CB">
      <w:pPr>
        <w:pageBreakBefore w:val="0"/>
        <w:shd w:val="clear"/>
        <w:kinsoku/>
        <w:wordWrap/>
        <w:overflowPunct/>
        <w:topLinePunct w:val="0"/>
        <w:autoSpaceDE/>
        <w:autoSpaceDN/>
        <w:bidi w:val="0"/>
        <w:adjustRightInd/>
        <w:snapToGrid/>
        <w:spacing w:line="58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14:paraId="32FE0F48">
      <w:pPr>
        <w:pageBreakBefore w:val="0"/>
        <w:shd w:val="clear"/>
        <w:kinsoku/>
        <w:wordWrap/>
        <w:overflowPunct/>
        <w:topLinePunct w:val="0"/>
        <w:autoSpaceDE/>
        <w:autoSpaceDN/>
        <w:bidi w:val="0"/>
        <w:adjustRightInd/>
        <w:snapToGrid/>
        <w:spacing w:line="58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3CC87FBF">
      <w:pPr>
        <w:pageBreakBefore w:val="0"/>
        <w:shd w:val="clear"/>
        <w:kinsoku/>
        <w:wordWrap/>
        <w:overflowPunct/>
        <w:topLinePunct w:val="0"/>
        <w:autoSpaceDE/>
        <w:autoSpaceDN/>
        <w:bidi w:val="0"/>
        <w:adjustRightInd/>
        <w:snapToGrid/>
        <w:spacing w:line="58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（2）立项程序规范性</w:t>
      </w:r>
    </w:p>
    <w:p w14:paraId="455359FB">
      <w:pPr>
        <w:pageBreakBefore w:val="0"/>
        <w:shd w:val="clear"/>
        <w:kinsoku/>
        <w:wordWrap/>
        <w:overflowPunct/>
        <w:topLinePunct w:val="0"/>
        <w:autoSpaceDE/>
        <w:autoSpaceDN/>
        <w:bidi w:val="0"/>
        <w:adjustRightInd/>
        <w:snapToGrid/>
        <w:spacing w:line="58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08CD4800">
      <w:pPr>
        <w:pStyle w:val="20"/>
        <w:keepNext w:val="0"/>
        <w:keepLines w:val="0"/>
        <w:pageBreakBefore w:val="0"/>
        <w:widowControl w:val="0"/>
        <w:shd w:val="clear"/>
        <w:kinsoku/>
        <w:wordWrap/>
        <w:overflowPunct/>
        <w:topLinePunct w:val="0"/>
        <w:autoSpaceDE/>
        <w:autoSpaceDN/>
        <w:bidi w:val="0"/>
        <w:adjustRightInd/>
        <w:snapToGrid/>
        <w:spacing w:line="580" w:lineRule="exact"/>
        <w:ind w:left="0" w:leftChars="0" w:firstLine="643" w:firstLineChars="20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14:paraId="5B9FE29F">
      <w:pPr>
        <w:pageBreakBefore w:val="0"/>
        <w:shd w:val="clear"/>
        <w:kinsoku/>
        <w:wordWrap/>
        <w:overflowPunct/>
        <w:topLinePunct w:val="0"/>
        <w:autoSpaceDE/>
        <w:autoSpaceDN/>
        <w:bidi w:val="0"/>
        <w:adjustRightInd/>
        <w:snapToGrid/>
        <w:spacing w:line="58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14:paraId="180C5199">
      <w:pPr>
        <w:pageBreakBefore w:val="0"/>
        <w:shd w:val="clear"/>
        <w:kinsoku/>
        <w:wordWrap/>
        <w:overflowPunct/>
        <w:topLinePunct w:val="0"/>
        <w:autoSpaceDE/>
        <w:autoSpaceDN/>
        <w:bidi w:val="0"/>
        <w:adjustRightInd/>
        <w:snapToGrid/>
        <w:spacing w:line="58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4A6B565F">
      <w:pPr>
        <w:pageBreakBefore w:val="0"/>
        <w:shd w:val="clear"/>
        <w:kinsoku/>
        <w:wordWrap/>
        <w:overflowPunct/>
        <w:topLinePunct w:val="0"/>
        <w:autoSpaceDE/>
        <w:autoSpaceDN/>
        <w:bidi w:val="0"/>
        <w:adjustRightInd/>
        <w:snapToGrid/>
        <w:spacing w:line="58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（2）绩效指标明确性</w:t>
      </w:r>
    </w:p>
    <w:p w14:paraId="6FE775C8">
      <w:pPr>
        <w:pageBreakBefore w:val="0"/>
        <w:shd w:val="clear"/>
        <w:kinsoku/>
        <w:wordWrap/>
        <w:overflowPunct/>
        <w:topLinePunct w:val="0"/>
        <w:autoSpaceDE/>
        <w:autoSpaceDN/>
        <w:bidi w:val="0"/>
        <w:adjustRightInd/>
        <w:snapToGrid/>
        <w:spacing w:line="58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p w14:paraId="1B603CA4">
      <w:pPr>
        <w:pStyle w:val="20"/>
        <w:keepNext w:val="0"/>
        <w:keepLines w:val="0"/>
        <w:pageBreakBefore w:val="0"/>
        <w:widowControl w:val="0"/>
        <w:shd w:val="clear"/>
        <w:kinsoku/>
        <w:wordWrap/>
        <w:overflowPunct/>
        <w:topLinePunct w:val="0"/>
        <w:autoSpaceDE/>
        <w:autoSpaceDN/>
        <w:bidi w:val="0"/>
        <w:adjustRightInd/>
        <w:snapToGrid/>
        <w:spacing w:line="580" w:lineRule="exact"/>
        <w:ind w:left="0" w:leftChars="0" w:firstLine="643" w:firstLineChars="20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14:paraId="35836A78">
      <w:pPr>
        <w:pageBreakBefore w:val="0"/>
        <w:shd w:val="clear"/>
        <w:kinsoku/>
        <w:wordWrap/>
        <w:overflowPunct/>
        <w:topLinePunct w:val="0"/>
        <w:autoSpaceDE/>
        <w:autoSpaceDN/>
        <w:bidi w:val="0"/>
        <w:adjustRightInd/>
        <w:snapToGrid/>
        <w:spacing w:line="58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14:paraId="1D62E8DF">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1981FA5B">
      <w:pPr>
        <w:pageBreakBefore w:val="0"/>
        <w:shd w:val="clear"/>
        <w:kinsoku/>
        <w:wordWrap/>
        <w:overflowPunct/>
        <w:topLinePunct w:val="0"/>
        <w:autoSpaceDE/>
        <w:autoSpaceDN/>
        <w:bidi w:val="0"/>
        <w:adjustRightInd/>
        <w:snapToGrid/>
        <w:spacing w:line="580" w:lineRule="exact"/>
        <w:ind w:firstLine="640" w:firstLineChars="200"/>
        <w:textAlignment w:val="auto"/>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在预算编制过程中，</w:t>
      </w:r>
      <w:r>
        <w:rPr>
          <w:rFonts w:hint="eastAsia" w:ascii="仿宋_GB2312" w:hAnsi="仿宋_GB2312" w:eastAsia="仿宋_GB2312" w:cs="仿宋_GB2312"/>
          <w:sz w:val="32"/>
          <w:szCs w:val="32"/>
          <w:highlight w:val="none"/>
          <w:lang w:val="en-US" w:eastAsia="zh-CN"/>
        </w:rPr>
        <w:t>还</w:t>
      </w:r>
      <w:r>
        <w:rPr>
          <w:rFonts w:hint="eastAsia" w:ascii="仿宋_GB2312" w:hAnsi="仿宋_GB2312" w:eastAsia="仿宋_GB2312" w:cs="仿宋_GB2312"/>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78B7560E">
      <w:pPr>
        <w:pageBreakBefore w:val="0"/>
        <w:shd w:val="clear"/>
        <w:kinsoku/>
        <w:wordWrap/>
        <w:overflowPunct/>
        <w:topLinePunct w:val="0"/>
        <w:autoSpaceDE/>
        <w:autoSpaceDN/>
        <w:bidi w:val="0"/>
        <w:adjustRightInd/>
        <w:snapToGrid/>
        <w:spacing w:line="58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（2）资金分配合理性</w:t>
      </w:r>
    </w:p>
    <w:p w14:paraId="2404D95D">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40CF280F">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216C024E">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7B7CF080">
      <w:pPr>
        <w:pStyle w:val="11"/>
        <w:pageBreakBefore w:val="0"/>
        <w:numPr>
          <w:ilvl w:val="0"/>
          <w:numId w:val="4"/>
        </w:numPr>
        <w:kinsoku/>
        <w:wordWrap/>
        <w:overflowPunct/>
        <w:topLinePunct w:val="0"/>
        <w:autoSpaceDE/>
        <w:autoSpaceDN/>
        <w:bidi w:val="0"/>
        <w:adjustRightInd/>
        <w:snapToGrid/>
        <w:spacing w:before="0" w:after="0" w:line="580" w:lineRule="exact"/>
        <w:ind w:firstLine="643" w:firstLineChars="200"/>
        <w:jc w:val="both"/>
        <w:textAlignment w:val="auto"/>
        <w:rPr>
          <w:rFonts w:hint="default" w:ascii="Times New Roman" w:hAnsi="Times New Roman" w:eastAsia="楷体" w:cs="Times New Roman"/>
        </w:rPr>
      </w:pPr>
      <w:r>
        <w:rPr>
          <w:rFonts w:hint="default" w:ascii="Times New Roman" w:hAnsi="Times New Roman" w:eastAsia="楷体" w:cs="Times New Roman"/>
        </w:rPr>
        <w:t>项目过程情况</w:t>
      </w:r>
    </w:p>
    <w:p w14:paraId="3839C52E">
      <w:pPr>
        <w:pageBreakBefore w:val="0"/>
        <w:shd w:val="clear"/>
        <w:kinsoku/>
        <w:wordWrap/>
        <w:overflowPunct/>
        <w:topLinePunct w:val="0"/>
        <w:autoSpaceDE/>
        <w:autoSpaceDN/>
        <w:bidi w:val="0"/>
        <w:adjustRightInd/>
        <w:snapToGrid/>
        <w:spacing w:line="58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项目过程类指标包括资金管理和组织实施两方面的内容，由</w:t>
      </w:r>
      <w:r>
        <w:rPr>
          <w:rFonts w:hint="eastAsia" w:ascii="仿宋_GB2312" w:hAnsi="仿宋_GB2312" w:eastAsia="仿宋_GB2312" w:cs="仿宋_GB2312"/>
          <w:sz w:val="32"/>
          <w:szCs w:val="32"/>
          <w:highlight w:val="none"/>
          <w:lang w:val="en-US" w:eastAsia="zh-CN"/>
        </w:rPr>
        <w:t>5个</w:t>
      </w:r>
      <w:r>
        <w:rPr>
          <w:rFonts w:hint="eastAsia" w:ascii="仿宋_GB2312" w:hAnsi="仿宋_GB2312" w:eastAsia="仿宋_GB2312" w:cs="仿宋_GB2312"/>
          <w:sz w:val="32"/>
          <w:szCs w:val="32"/>
          <w:lang w:val="en-US" w:eastAsia="zh-CN"/>
        </w:rPr>
        <w:t>三级指标构成，权重分值为20分，</w:t>
      </w:r>
      <w:r>
        <w:rPr>
          <w:rFonts w:hint="eastAsia" w:ascii="仿宋_GB2312" w:hAnsi="仿宋_GB2312" w:eastAsia="仿宋_GB2312" w:cs="仿宋_GB2312"/>
          <w:sz w:val="32"/>
          <w:szCs w:val="32"/>
          <w:highlight w:val="none"/>
          <w:lang w:val="en-US" w:eastAsia="zh-CN"/>
        </w:rPr>
        <w:t>实际得分19.5分，97.50%。</w:t>
      </w:r>
    </w:p>
    <w:p w14:paraId="5C13BF8B">
      <w:pPr>
        <w:pStyle w:val="20"/>
        <w:keepNext w:val="0"/>
        <w:keepLines w:val="0"/>
        <w:pageBreakBefore w:val="0"/>
        <w:widowControl w:val="0"/>
        <w:shd w:val="clear"/>
        <w:kinsoku/>
        <w:wordWrap/>
        <w:overflowPunct/>
        <w:topLinePunct w:val="0"/>
        <w:autoSpaceDE/>
        <w:autoSpaceDN/>
        <w:bidi w:val="0"/>
        <w:adjustRightInd/>
        <w:snapToGrid/>
        <w:spacing w:line="580" w:lineRule="exact"/>
        <w:ind w:left="0" w:leftChars="0" w:firstLine="643" w:firstLineChars="20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1.资金管理</w:t>
      </w:r>
    </w:p>
    <w:p w14:paraId="29EE1D39">
      <w:pPr>
        <w:pageBreakBefore w:val="0"/>
        <w:shd w:val="clear"/>
        <w:kinsoku/>
        <w:wordWrap/>
        <w:overflowPunct/>
        <w:topLinePunct w:val="0"/>
        <w:autoSpaceDE/>
        <w:autoSpaceDN/>
        <w:bidi w:val="0"/>
        <w:adjustRightInd/>
        <w:snapToGrid/>
        <w:spacing w:line="58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14:paraId="7DE90DF3">
      <w:pPr>
        <w:pageBreakBefore w:val="0"/>
        <w:shd w:val="clear"/>
        <w:kinsoku/>
        <w:wordWrap/>
        <w:overflowPunct/>
        <w:topLinePunct w:val="0"/>
        <w:autoSpaceDE/>
        <w:autoSpaceDN/>
        <w:bidi w:val="0"/>
        <w:adjustRightInd/>
        <w:snapToGrid/>
        <w:spacing w:line="58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本项目总投资25.80万元，单位资金及时足额到位，到位率100%，预算资金按计划进度执行。</w:t>
      </w:r>
    </w:p>
    <w:p w14:paraId="31A89343">
      <w:pPr>
        <w:pageBreakBefore w:val="0"/>
        <w:shd w:val="clear"/>
        <w:kinsoku/>
        <w:wordWrap/>
        <w:overflowPunct/>
        <w:topLinePunct w:val="0"/>
        <w:autoSpaceDE/>
        <w:autoSpaceDN/>
        <w:bidi w:val="0"/>
        <w:adjustRightInd/>
        <w:snapToGrid/>
        <w:spacing w:line="58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（2）预算执行率</w:t>
      </w:r>
    </w:p>
    <w:p w14:paraId="2A5BBFC1">
      <w:pPr>
        <w:pageBreakBefore w:val="0"/>
        <w:shd w:val="clear"/>
        <w:kinsoku/>
        <w:wordWrap/>
        <w:overflowPunct/>
        <w:topLinePunct w:val="0"/>
        <w:autoSpaceDE/>
        <w:autoSpaceDN/>
        <w:bidi w:val="0"/>
        <w:adjustRightInd/>
        <w:snapToGrid/>
        <w:spacing w:line="58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预算编制较为详细，项目资金支出总体能够按照预算执行，预算资金支出22.60万元，预算执行率为87.60%。</w:t>
      </w:r>
    </w:p>
    <w:p w14:paraId="0537814A">
      <w:pPr>
        <w:pageBreakBefore w:val="0"/>
        <w:shd w:val="clear"/>
        <w:kinsoku/>
        <w:wordWrap/>
        <w:overflowPunct/>
        <w:topLinePunct w:val="0"/>
        <w:autoSpaceDE/>
        <w:autoSpaceDN/>
        <w:bidi w:val="0"/>
        <w:adjustRightInd/>
        <w:snapToGrid/>
        <w:spacing w:line="58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（3）资金使用合规性</w:t>
      </w:r>
    </w:p>
    <w:p w14:paraId="4626BF69">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14:paraId="315B7719">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054F31D3">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440C2A8D">
      <w:pPr>
        <w:pStyle w:val="20"/>
        <w:keepNext w:val="0"/>
        <w:keepLines w:val="0"/>
        <w:pageBreakBefore w:val="0"/>
        <w:widowControl w:val="0"/>
        <w:shd w:val="clear"/>
        <w:kinsoku/>
        <w:wordWrap/>
        <w:overflowPunct/>
        <w:topLinePunct w:val="0"/>
        <w:autoSpaceDE/>
        <w:autoSpaceDN/>
        <w:bidi w:val="0"/>
        <w:adjustRightInd/>
        <w:snapToGrid/>
        <w:spacing w:line="580" w:lineRule="exact"/>
        <w:ind w:left="0" w:leftChars="0" w:firstLine="643" w:firstLineChars="20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2.组织实施</w:t>
      </w:r>
    </w:p>
    <w:p w14:paraId="0082EDE0">
      <w:pPr>
        <w:pageBreakBefore w:val="0"/>
        <w:shd w:val="clear"/>
        <w:kinsoku/>
        <w:wordWrap/>
        <w:overflowPunct/>
        <w:topLinePunct w:val="0"/>
        <w:autoSpaceDE/>
        <w:autoSpaceDN/>
        <w:bidi w:val="0"/>
        <w:adjustRightInd/>
        <w:snapToGrid/>
        <w:spacing w:line="58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（1）管理制度健全性</w:t>
      </w:r>
    </w:p>
    <w:p w14:paraId="7FABB2C0">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14:paraId="2D4851F0">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在制度设计上，我们注重了制度的科学性与可操作性，确保制度能够切实指导项目的执行与管理。</w:t>
      </w:r>
    </w:p>
    <w:p w14:paraId="4A3674D0">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0F5EA6D6">
      <w:pPr>
        <w:pageBreakBefore w:val="0"/>
        <w:shd w:val="clear"/>
        <w:kinsoku/>
        <w:wordWrap/>
        <w:overflowPunct/>
        <w:topLinePunct w:val="0"/>
        <w:autoSpaceDE/>
        <w:autoSpaceDN/>
        <w:bidi w:val="0"/>
        <w:adjustRightInd/>
        <w:snapToGrid/>
        <w:spacing w:line="580" w:lineRule="exact"/>
        <w:ind w:firstLine="640" w:firstLineChars="200"/>
        <w:textAlignment w:val="auto"/>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35B4C118">
      <w:pPr>
        <w:pageBreakBefore w:val="0"/>
        <w:shd w:val="clear"/>
        <w:kinsoku/>
        <w:wordWrap/>
        <w:overflowPunct/>
        <w:topLinePunct w:val="0"/>
        <w:autoSpaceDE/>
        <w:autoSpaceDN/>
        <w:bidi w:val="0"/>
        <w:adjustRightInd/>
        <w:snapToGrid/>
        <w:spacing w:line="58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14:paraId="4614CF44">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本项目在执行过程中，管理制度得到了全面、有效的落实，为确保项目的顺利实施与目标实现提供了坚实的保障。项目</w:t>
      </w:r>
      <w:r>
        <w:rPr>
          <w:rFonts w:hint="eastAsia" w:ascii="仿宋_GB2312" w:hAnsi="仿宋_GB2312" w:eastAsia="仿宋_GB2312" w:cs="仿宋_GB2312"/>
          <w:sz w:val="32"/>
          <w:szCs w:val="32"/>
          <w:lang w:val="en-US" w:eastAsia="zh-CN"/>
        </w:rPr>
        <w:t>单位</w:t>
      </w:r>
      <w:r>
        <w:rPr>
          <w:rFonts w:hint="eastAsia" w:ascii="仿宋_GB2312" w:hAnsi="仿宋_GB2312" w:eastAsia="仿宋_GB2312" w:cs="仿宋_GB2312"/>
          <w:sz w:val="32"/>
          <w:szCs w:val="32"/>
          <w:lang w:eastAsia="zh-CN"/>
        </w:rPr>
        <w:t>重视制度执行的重要性，通过明确责任分工、制定详细执行计划、加强监督考核等措施，确保了各项管理制度能够得到有效执行。</w:t>
      </w:r>
    </w:p>
    <w:p w14:paraId="6960CC48">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3A9572CA">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综上所述，本项目的管理制度在执行过程中表现出了高度的有效性，既确保了项目的顺利进行，又实现了项目目标的有效达成。</w:t>
      </w:r>
    </w:p>
    <w:p w14:paraId="39BA7FE4">
      <w:pPr>
        <w:pStyle w:val="13"/>
        <w:pageBreakBefore w:val="0"/>
        <w:numPr>
          <w:ilvl w:val="0"/>
          <w:numId w:val="4"/>
        </w:numPr>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14:paraId="7B683D6A">
      <w:pPr>
        <w:pageBreakBefore w:val="0"/>
        <w:shd w:val="clear"/>
        <w:kinsoku/>
        <w:wordWrap/>
        <w:overflowPunct/>
        <w:topLinePunct w:val="0"/>
        <w:autoSpaceDE/>
        <w:autoSpaceDN/>
        <w:bidi w:val="0"/>
        <w:adjustRightInd/>
        <w:snapToGrid/>
        <w:spacing w:line="58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项目产出类指标包括产出数量、产出质量、产出时效、产出成本四方面的内容，由7个三级指标构成，权重分为40分，实际得分40分，得分率为100%。具体产出指标完成情况如下：</w:t>
      </w:r>
    </w:p>
    <w:p w14:paraId="538C5D56">
      <w:pPr>
        <w:pageBreakBefore w:val="0"/>
        <w:shd w:val="clear"/>
        <w:kinsoku/>
        <w:wordWrap/>
        <w:overflowPunct/>
        <w:topLinePunct w:val="0"/>
        <w:autoSpaceDE/>
        <w:autoSpaceDN/>
        <w:bidi w:val="0"/>
        <w:adjustRightInd/>
        <w:snapToGrid/>
        <w:spacing w:line="58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r>
        <w:rPr>
          <w:rFonts w:hint="eastAsia" w:ascii="仿宋_GB2312" w:hAnsi="仿宋_GB2312" w:eastAsia="仿宋_GB2312" w:cs="仿宋_GB2312"/>
          <w:sz w:val="32"/>
          <w:szCs w:val="32"/>
          <w:highlight w:val="none"/>
          <w:lang w:val="en-US" w:eastAsia="zh-CN"/>
        </w:rPr>
        <w:t>1</w:t>
      </w:r>
    </w:p>
    <w:p w14:paraId="7968B628">
      <w:pPr>
        <w:pageBreakBefore w:val="0"/>
        <w:shd w:val="clear"/>
        <w:kinsoku/>
        <w:wordWrap/>
        <w:overflowPunct/>
        <w:topLinePunct w:val="0"/>
        <w:autoSpaceDE/>
        <w:autoSpaceDN/>
        <w:bidi w:val="0"/>
        <w:adjustRightInd/>
        <w:snapToGrid/>
        <w:spacing w:line="58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指标1：采购设备数量，指标值：=</w:t>
      </w:r>
      <w:r>
        <w:rPr>
          <w:rFonts w:hint="eastAsia" w:ascii="仿宋_GB2312" w:hAnsi="仿宋_GB2312" w:eastAsia="仿宋_GB2312" w:cs="仿宋_GB2312"/>
          <w:sz w:val="32"/>
          <w:szCs w:val="32"/>
          <w:highlight w:val="none"/>
          <w:lang w:val="en-US" w:eastAsia="zh-CN"/>
        </w:rPr>
        <w:t>1台</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val="en-US" w:eastAsia="zh-CN"/>
        </w:rPr>
        <w:t>1台</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 xml:space="preserve"> %</w:t>
      </w:r>
      <w:r>
        <w:rPr>
          <w:rFonts w:hint="eastAsia" w:ascii="仿宋_GB2312" w:hAnsi="仿宋_GB2312" w:eastAsia="仿宋_GB2312" w:cs="仿宋_GB2312"/>
          <w:sz w:val="32"/>
          <w:szCs w:val="32"/>
          <w:highlight w:val="none"/>
          <w:lang w:eastAsia="zh-CN"/>
        </w:rPr>
        <w:t>，偏差原因：</w:t>
      </w:r>
      <w:r>
        <w:rPr>
          <w:rFonts w:hint="eastAsia" w:ascii="仿宋_GB2312" w:hAnsi="仿宋_GB2312" w:eastAsia="仿宋_GB2312" w:cs="仿宋_GB2312"/>
          <w:sz w:val="32"/>
          <w:szCs w:val="32"/>
          <w:highlight w:val="none"/>
          <w:lang w:val="en-US" w:eastAsia="zh-CN"/>
        </w:rPr>
        <w:t>无偏差。</w:t>
      </w:r>
    </w:p>
    <w:p w14:paraId="0038B11E">
      <w:pPr>
        <w:pageBreakBefore w:val="0"/>
        <w:shd w:val="clear"/>
        <w:kinsoku/>
        <w:wordWrap/>
        <w:overflowPunct/>
        <w:topLinePunct w:val="0"/>
        <w:autoSpaceDE/>
        <w:autoSpaceDN/>
        <w:bidi w:val="0"/>
        <w:adjustRightInd/>
        <w:snapToGrid/>
        <w:spacing w:line="580" w:lineRule="exact"/>
        <w:ind w:firstLine="640" w:firstLineChars="200"/>
        <w:textAlignment w:val="auto"/>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质量指标：</w:t>
      </w:r>
    </w:p>
    <w:p w14:paraId="6024536D">
      <w:pPr>
        <w:pageBreakBefore w:val="0"/>
        <w:shd w:val="clear"/>
        <w:kinsoku/>
        <w:wordWrap/>
        <w:overflowPunct/>
        <w:topLinePunct w:val="0"/>
        <w:autoSpaceDE/>
        <w:autoSpaceDN/>
        <w:bidi w:val="0"/>
        <w:adjustRightInd/>
        <w:snapToGrid/>
        <w:spacing w:line="58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指标1：设备验收合格率，指标值：=100%，实际完成值：=100%，指标完成率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 xml:space="preserve"> %</w:t>
      </w:r>
      <w:r>
        <w:rPr>
          <w:rFonts w:hint="eastAsia" w:ascii="仿宋_GB2312" w:hAnsi="仿宋_GB2312" w:eastAsia="仿宋_GB2312" w:cs="仿宋_GB2312"/>
          <w:sz w:val="32"/>
          <w:szCs w:val="32"/>
          <w:highlight w:val="none"/>
          <w:lang w:eastAsia="zh-CN"/>
        </w:rPr>
        <w:t>，偏差原因：</w:t>
      </w:r>
      <w:r>
        <w:rPr>
          <w:rFonts w:hint="eastAsia" w:ascii="仿宋_GB2312" w:hAnsi="仿宋_GB2312" w:eastAsia="仿宋_GB2312" w:cs="仿宋_GB2312"/>
          <w:sz w:val="32"/>
          <w:szCs w:val="32"/>
          <w:highlight w:val="none"/>
          <w:lang w:val="en-US" w:eastAsia="zh-CN"/>
        </w:rPr>
        <w:t>无偏差。</w:t>
      </w:r>
    </w:p>
    <w:p w14:paraId="50E8A80E">
      <w:pPr>
        <w:pageBreakBefore w:val="0"/>
        <w:shd w:val="clear"/>
        <w:kinsoku/>
        <w:wordWrap/>
        <w:overflowPunct/>
        <w:topLinePunct w:val="0"/>
        <w:autoSpaceDE/>
        <w:autoSpaceDN/>
        <w:bidi w:val="0"/>
        <w:adjustRightInd/>
        <w:snapToGrid/>
        <w:spacing w:line="580" w:lineRule="exact"/>
        <w:ind w:firstLine="640" w:firstLineChars="200"/>
        <w:textAlignment w:val="auto"/>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3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时效指标：</w:t>
      </w:r>
    </w:p>
    <w:p w14:paraId="050ABA77">
      <w:pPr>
        <w:pageBreakBefore w:val="0"/>
        <w:shd w:val="clear"/>
        <w:kinsoku/>
        <w:wordWrap/>
        <w:overflowPunct/>
        <w:topLinePunct w:val="0"/>
        <w:autoSpaceDE/>
        <w:autoSpaceDN/>
        <w:bidi w:val="0"/>
        <w:adjustRightInd/>
        <w:snapToGrid/>
        <w:spacing w:line="58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指标1：项目经费支付及时性，指标值：&gt;=95%，实际完成值：&gt;=95%%，指标完成率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 xml:space="preserve"> %</w:t>
      </w:r>
      <w:r>
        <w:rPr>
          <w:rFonts w:hint="eastAsia" w:ascii="仿宋_GB2312" w:hAnsi="仿宋_GB2312" w:eastAsia="仿宋_GB2312" w:cs="仿宋_GB2312"/>
          <w:sz w:val="32"/>
          <w:szCs w:val="32"/>
          <w:highlight w:val="none"/>
          <w:lang w:eastAsia="zh-CN"/>
        </w:rPr>
        <w:t>，偏差原因：</w:t>
      </w:r>
      <w:r>
        <w:rPr>
          <w:rFonts w:hint="eastAsia" w:ascii="仿宋_GB2312" w:hAnsi="仿宋_GB2312" w:eastAsia="仿宋_GB2312" w:cs="仿宋_GB2312"/>
          <w:sz w:val="32"/>
          <w:szCs w:val="32"/>
          <w:highlight w:val="none"/>
          <w:lang w:val="en-US" w:eastAsia="zh-CN"/>
        </w:rPr>
        <w:t>无偏差。</w:t>
      </w:r>
    </w:p>
    <w:p w14:paraId="27010BCA">
      <w:pPr>
        <w:pageBreakBefore w:val="0"/>
        <w:shd w:val="clear"/>
        <w:kinsoku/>
        <w:wordWrap/>
        <w:overflowPunct/>
        <w:topLinePunct w:val="0"/>
        <w:autoSpaceDE/>
        <w:autoSpaceDN/>
        <w:bidi w:val="0"/>
        <w:adjustRightInd/>
        <w:snapToGrid/>
        <w:spacing w:line="580" w:lineRule="exact"/>
        <w:ind w:firstLine="640" w:firstLineChars="200"/>
        <w:textAlignment w:val="auto"/>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t>指标</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：设备采购完成时间，指标值：2024年11月30日，实际完成值：2024年11月30日，指标完成率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 xml:space="preserve"> %</w:t>
      </w:r>
      <w:r>
        <w:rPr>
          <w:rFonts w:hint="eastAsia" w:ascii="仿宋_GB2312" w:hAnsi="仿宋_GB2312" w:eastAsia="仿宋_GB2312" w:cs="仿宋_GB2312"/>
          <w:sz w:val="32"/>
          <w:szCs w:val="32"/>
          <w:highlight w:val="none"/>
          <w:lang w:eastAsia="zh-CN"/>
        </w:rPr>
        <w:t>，偏差原因：</w:t>
      </w:r>
      <w:r>
        <w:rPr>
          <w:rFonts w:hint="eastAsia" w:ascii="仿宋_GB2312" w:hAnsi="仿宋_GB2312" w:eastAsia="仿宋_GB2312" w:cs="仿宋_GB2312"/>
          <w:sz w:val="32"/>
          <w:szCs w:val="32"/>
          <w:highlight w:val="none"/>
          <w:lang w:val="en-US" w:eastAsia="zh-CN"/>
        </w:rPr>
        <w:t>无偏差。</w:t>
      </w:r>
    </w:p>
    <w:p w14:paraId="671A9B0A">
      <w:pPr>
        <w:pageBreakBefore w:val="0"/>
        <w:shd w:val="clear"/>
        <w:kinsoku/>
        <w:wordWrap/>
        <w:overflowPunct/>
        <w:topLinePunct w:val="0"/>
        <w:autoSpaceDE/>
        <w:autoSpaceDN/>
        <w:bidi w:val="0"/>
        <w:adjustRightInd/>
        <w:snapToGrid/>
        <w:spacing w:line="580" w:lineRule="exact"/>
        <w:ind w:firstLine="640" w:firstLineChars="200"/>
        <w:textAlignment w:val="auto"/>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4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④</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成本指标：</w:t>
      </w:r>
    </w:p>
    <w:p w14:paraId="38589F09">
      <w:pPr>
        <w:pageBreakBefore w:val="0"/>
        <w:shd w:val="clear"/>
        <w:kinsoku/>
        <w:wordWrap/>
        <w:overflowPunct/>
        <w:topLinePunct w:val="0"/>
        <w:autoSpaceDE/>
        <w:autoSpaceDN/>
        <w:bidi w:val="0"/>
        <w:adjustRightInd/>
        <w:snapToGrid/>
        <w:spacing w:line="58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指标1：</w:t>
      </w:r>
      <w:r>
        <w:rPr>
          <w:rFonts w:hint="eastAsia" w:ascii="仿宋_GB2312" w:hAnsi="仿宋_GB2312" w:eastAsia="仿宋_GB2312" w:cs="仿宋_GB2312"/>
          <w:sz w:val="32"/>
          <w:szCs w:val="32"/>
          <w:highlight w:val="none"/>
          <w:lang w:val="en-US" w:eastAsia="zh-CN"/>
        </w:rPr>
        <w:t>项目预算控制率</w:t>
      </w:r>
      <w:r>
        <w:rPr>
          <w:rFonts w:hint="eastAsia" w:ascii="仿宋_GB2312" w:hAnsi="仿宋_GB2312" w:eastAsia="仿宋_GB2312" w:cs="仿宋_GB2312"/>
          <w:sz w:val="32"/>
          <w:szCs w:val="32"/>
          <w:highlight w:val="none"/>
        </w:rPr>
        <w:t>，指标值：&lt;=100%，实际完成值：=87.6%，指标完成率</w:t>
      </w:r>
      <w:r>
        <w:rPr>
          <w:rFonts w:hint="eastAsia" w:ascii="仿宋_GB2312" w:hAnsi="仿宋_GB2312" w:eastAsia="仿宋_GB2312" w:cs="仿宋_GB2312"/>
          <w:sz w:val="32"/>
          <w:szCs w:val="32"/>
          <w:highlight w:val="none"/>
          <w:lang w:val="en-US" w:eastAsia="zh-CN"/>
        </w:rPr>
        <w:t>=87.6%</w:t>
      </w:r>
      <w:r>
        <w:rPr>
          <w:rFonts w:hint="eastAsia" w:ascii="仿宋_GB2312" w:hAnsi="仿宋_GB2312" w:eastAsia="仿宋_GB2312" w:cs="仿宋_GB2312"/>
          <w:sz w:val="32"/>
          <w:szCs w:val="32"/>
          <w:highlight w:val="none"/>
        </w:rPr>
        <w:t xml:space="preserve"> %</w:t>
      </w:r>
      <w:r>
        <w:rPr>
          <w:rFonts w:hint="eastAsia" w:ascii="仿宋_GB2312" w:hAnsi="仿宋_GB2312" w:eastAsia="仿宋_GB2312" w:cs="仿宋_GB2312"/>
          <w:sz w:val="32"/>
          <w:szCs w:val="32"/>
          <w:highlight w:val="none"/>
          <w:lang w:eastAsia="zh-CN"/>
        </w:rPr>
        <w:t>，偏差原因：</w:t>
      </w:r>
      <w:r>
        <w:rPr>
          <w:rFonts w:hint="eastAsia" w:ascii="仿宋_GB2312" w:hAnsi="仿宋_GB2312" w:eastAsia="仿宋_GB2312" w:cs="仿宋_GB2312"/>
          <w:b w:val="0"/>
          <w:bCs w:val="0"/>
          <w:sz w:val="32"/>
          <w:szCs w:val="32"/>
          <w:highlight w:val="none"/>
          <w:lang w:val="en-US" w:eastAsia="zh-CN"/>
        </w:rPr>
        <w:t>本是项目严格贯彻“厉行节约、提质增效”原则</w:t>
      </w:r>
      <w:r>
        <w:rPr>
          <w:rFonts w:hint="eastAsia" w:ascii="仿宋_GB2312" w:hAnsi="仿宋_GB2312" w:eastAsia="仿宋_GB2312" w:cs="仿宋_GB2312"/>
          <w:b w:val="0"/>
          <w:bCs w:val="0"/>
          <w:sz w:val="32"/>
          <w:szCs w:val="32"/>
          <w:highlight w:val="none"/>
        </w:rPr>
        <w:t>，</w:t>
      </w:r>
      <w:r>
        <w:rPr>
          <w:rFonts w:hint="eastAsia" w:ascii="仿宋_GB2312" w:hAnsi="仿宋_GB2312" w:eastAsia="仿宋_GB2312" w:cs="仿宋_GB2312"/>
          <w:b w:val="0"/>
          <w:bCs w:val="0"/>
          <w:sz w:val="32"/>
          <w:szCs w:val="32"/>
          <w:highlight w:val="none"/>
          <w:lang w:val="en-US" w:eastAsia="zh-CN"/>
        </w:rPr>
        <w:t>在保障项目达标的前提下“非必要不知出”节约项目资金3.20万元，预算为25.80万元，中标价22.60万元，预算执行率为87.60%。</w:t>
      </w:r>
    </w:p>
    <w:p w14:paraId="762FDB7C">
      <w:pPr>
        <w:pStyle w:val="13"/>
        <w:pageBreakBefore w:val="0"/>
        <w:numPr>
          <w:ilvl w:val="0"/>
          <w:numId w:val="4"/>
        </w:numPr>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14:paraId="61DC360E">
      <w:pPr>
        <w:pageBreakBefore w:val="0"/>
        <w:shd w:val="clear"/>
        <w:kinsoku/>
        <w:wordWrap/>
        <w:overflowPunct/>
        <w:topLinePunct w:val="0"/>
        <w:autoSpaceDE/>
        <w:autoSpaceDN/>
        <w:bidi w:val="0"/>
        <w:adjustRightInd/>
        <w:snapToGrid/>
        <w:spacing w:line="58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项目效益类指标包括项目实施效益和满意度两方面的内容，由2个三级指标构成，权重分为20分，实际得分20分，得分率为100%。具体效益指标及满意度指标完成情况如下：</w:t>
      </w:r>
    </w:p>
    <w:p w14:paraId="3E2F31BE">
      <w:pPr>
        <w:pageBreakBefore w:val="0"/>
        <w:numPr>
          <w:ilvl w:val="0"/>
          <w:numId w:val="5"/>
        </w:numPr>
        <w:shd w:val="clear"/>
        <w:kinsoku/>
        <w:wordWrap/>
        <w:overflowPunct/>
        <w:topLinePunct w:val="0"/>
        <w:autoSpaceDE/>
        <w:autoSpaceDN/>
        <w:bidi w:val="0"/>
        <w:adjustRightInd/>
        <w:snapToGrid/>
        <w:spacing w:line="58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实施效益</w:t>
      </w:r>
    </w:p>
    <w:p w14:paraId="72B673C2">
      <w:pPr>
        <w:pageBreakBefore w:val="0"/>
        <w:numPr>
          <w:ilvl w:val="0"/>
          <w:numId w:val="0"/>
        </w:numPr>
        <w:shd w:val="clear"/>
        <w:kinsoku/>
        <w:wordWrap/>
        <w:overflowPunct/>
        <w:topLinePunct w:val="0"/>
        <w:autoSpaceDE/>
        <w:autoSpaceDN/>
        <w:bidi w:val="0"/>
        <w:adjustRightInd/>
        <w:snapToGrid/>
        <w:spacing w:line="580" w:lineRule="exact"/>
        <w:ind w:firstLine="640" w:firstLineChars="200"/>
        <w:textAlignment w:val="auto"/>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①</w:t>
      </w:r>
      <w:r>
        <w:rPr>
          <w:rFonts w:hint="eastAsia" w:ascii="仿宋_GB2312" w:hAnsi="仿宋_GB2312" w:eastAsia="仿宋_GB2312" w:cs="仿宋_GB2312"/>
          <w:sz w:val="32"/>
          <w:szCs w:val="32"/>
          <w:highlight w:val="none"/>
        </w:rPr>
        <w:t>经济效益指标：</w:t>
      </w:r>
    </w:p>
    <w:p w14:paraId="19032774">
      <w:pPr>
        <w:pageBreakBefore w:val="0"/>
        <w:shd w:val="clear"/>
        <w:kinsoku/>
        <w:wordWrap/>
        <w:overflowPunct/>
        <w:topLinePunct w:val="0"/>
        <w:autoSpaceDE/>
        <w:autoSpaceDN/>
        <w:bidi w:val="0"/>
        <w:adjustRightInd/>
        <w:snapToGrid/>
        <w:spacing w:line="58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指标1：设备利用率，指标值&gt;=95%，实际完成值：&gt;=95%，指标完成率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 xml:space="preserve"> %</w:t>
      </w:r>
      <w:r>
        <w:rPr>
          <w:rFonts w:hint="eastAsia" w:ascii="仿宋_GB2312" w:hAnsi="仿宋_GB2312" w:eastAsia="仿宋_GB2312" w:cs="仿宋_GB2312"/>
          <w:sz w:val="32"/>
          <w:szCs w:val="32"/>
          <w:highlight w:val="none"/>
          <w:lang w:eastAsia="zh-CN"/>
        </w:rPr>
        <w:t>，偏差原因：</w:t>
      </w:r>
      <w:r>
        <w:rPr>
          <w:rFonts w:hint="eastAsia" w:ascii="仿宋_GB2312" w:hAnsi="仿宋_GB2312" w:eastAsia="仿宋_GB2312" w:cs="仿宋_GB2312"/>
          <w:sz w:val="32"/>
          <w:szCs w:val="32"/>
          <w:highlight w:val="none"/>
          <w:lang w:val="en-US" w:eastAsia="zh-CN"/>
        </w:rPr>
        <w:t>无偏差。</w:t>
      </w:r>
    </w:p>
    <w:p w14:paraId="221775C0">
      <w:pPr>
        <w:pageBreakBefore w:val="0"/>
        <w:shd w:val="clear"/>
        <w:kinsoku/>
        <w:wordWrap/>
        <w:overflowPunct/>
        <w:topLinePunct w:val="0"/>
        <w:autoSpaceDE/>
        <w:autoSpaceDN/>
        <w:bidi w:val="0"/>
        <w:adjustRightInd/>
        <w:snapToGrid/>
        <w:spacing w:line="58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2.满意度</w:t>
      </w:r>
    </w:p>
    <w:p w14:paraId="3C644943">
      <w:pPr>
        <w:pageBreakBefore w:val="0"/>
        <w:shd w:val="clear"/>
        <w:kinsoku/>
        <w:wordWrap/>
        <w:overflowPunct/>
        <w:topLinePunct w:val="0"/>
        <w:autoSpaceDE/>
        <w:autoSpaceDN/>
        <w:bidi w:val="0"/>
        <w:adjustRightInd/>
        <w:snapToGrid/>
        <w:spacing w:line="58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指标1：设备使用人员满意度，指标值&gt;=9</w:t>
      </w:r>
      <w:r>
        <w:rPr>
          <w:rFonts w:hint="eastAsia" w:ascii="仿宋_GB2312" w:hAnsi="仿宋_GB2312" w:eastAsia="仿宋_GB2312" w:cs="仿宋_GB2312"/>
          <w:sz w:val="32"/>
          <w:szCs w:val="32"/>
          <w:highlight w:val="none"/>
          <w:lang w:val="en-US" w:eastAsia="zh-CN"/>
        </w:rPr>
        <w:t>8</w:t>
      </w:r>
      <w:r>
        <w:rPr>
          <w:rFonts w:hint="eastAsia" w:ascii="仿宋_GB2312" w:hAnsi="仿宋_GB2312" w:eastAsia="仿宋_GB2312" w:cs="仿宋_GB2312"/>
          <w:sz w:val="32"/>
          <w:szCs w:val="32"/>
          <w:highlight w:val="none"/>
        </w:rPr>
        <w:t>%，实际完成值：&gt;=9</w:t>
      </w:r>
      <w:r>
        <w:rPr>
          <w:rFonts w:hint="eastAsia" w:ascii="仿宋_GB2312" w:hAnsi="仿宋_GB2312" w:eastAsia="仿宋_GB2312" w:cs="仿宋_GB2312"/>
          <w:sz w:val="32"/>
          <w:szCs w:val="32"/>
          <w:highlight w:val="none"/>
          <w:lang w:val="en-US" w:eastAsia="zh-CN"/>
        </w:rPr>
        <w:t>8</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 xml:space="preserve"> %</w:t>
      </w:r>
      <w:r>
        <w:rPr>
          <w:rFonts w:hint="eastAsia" w:ascii="仿宋_GB2312" w:hAnsi="仿宋_GB2312" w:eastAsia="仿宋_GB2312" w:cs="仿宋_GB2312"/>
          <w:sz w:val="32"/>
          <w:szCs w:val="32"/>
          <w:highlight w:val="none"/>
          <w:lang w:eastAsia="zh-CN"/>
        </w:rPr>
        <w:t>，偏差原因：</w:t>
      </w:r>
      <w:r>
        <w:rPr>
          <w:rFonts w:hint="eastAsia" w:ascii="仿宋_GB2312" w:hAnsi="仿宋_GB2312" w:eastAsia="仿宋_GB2312" w:cs="仿宋_GB2312"/>
          <w:sz w:val="32"/>
          <w:szCs w:val="32"/>
          <w:highlight w:val="none"/>
          <w:lang w:val="en-US" w:eastAsia="zh-CN"/>
        </w:rPr>
        <w:t>无偏差.</w:t>
      </w:r>
    </w:p>
    <w:p w14:paraId="29A89B21">
      <w:pPr>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val="0"/>
          <w:sz w:val="32"/>
          <w:szCs w:val="32"/>
          <w:highlight w:val="none"/>
          <w:lang w:val="en-US" w:eastAsia="zh-Hans"/>
        </w:rPr>
      </w:pPr>
      <w:r>
        <w:rPr>
          <w:rFonts w:hint="eastAsia" w:ascii="仿宋_GB2312" w:hAnsi="仿宋_GB2312" w:eastAsia="仿宋_GB2312" w:cs="仿宋_GB2312"/>
          <w:b w:val="0"/>
          <w:bCs w:val="0"/>
          <w:sz w:val="32"/>
          <w:szCs w:val="32"/>
          <w:highlight w:val="none"/>
          <w:lang w:val="en-US" w:eastAsia="zh-CN"/>
        </w:rPr>
        <w:t>五、</w:t>
      </w:r>
      <w:r>
        <w:rPr>
          <w:rFonts w:hint="eastAsia" w:ascii="仿宋_GB2312" w:hAnsi="仿宋_GB2312" w:eastAsia="仿宋_GB2312" w:cs="仿宋_GB2312"/>
          <w:b w:val="0"/>
          <w:bCs w:val="0"/>
          <w:sz w:val="32"/>
          <w:szCs w:val="32"/>
          <w:highlight w:val="none"/>
          <w:lang w:val="en-US" w:eastAsia="zh-Hans"/>
        </w:rPr>
        <w:t>预算执行进度与绩效指标总体完成率偏差</w:t>
      </w:r>
    </w:p>
    <w:p w14:paraId="3804BB6D">
      <w:pPr>
        <w:pageBreakBefore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kern w:val="0"/>
          <w:sz w:val="32"/>
          <w:szCs w:val="32"/>
          <w:highlight w:val="none"/>
        </w:rPr>
        <w:t>无线电业务运维</w:t>
      </w:r>
      <w:r>
        <w:rPr>
          <w:rFonts w:hint="eastAsia" w:ascii="仿宋_GB2312" w:hAnsi="仿宋_GB2312" w:eastAsia="仿宋_GB2312" w:cs="仿宋_GB2312"/>
          <w:b w:val="0"/>
          <w:bCs w:val="0"/>
          <w:sz w:val="32"/>
          <w:szCs w:val="32"/>
          <w:highlight w:val="none"/>
        </w:rPr>
        <w:t>项目年初预算</w:t>
      </w:r>
      <w:r>
        <w:rPr>
          <w:rFonts w:hint="eastAsia" w:ascii="仿宋_GB2312" w:hAnsi="仿宋_GB2312" w:eastAsia="仿宋_GB2312" w:cs="仿宋_GB2312"/>
          <w:b w:val="0"/>
          <w:bCs w:val="0"/>
          <w:sz w:val="32"/>
          <w:szCs w:val="32"/>
          <w:highlight w:val="none"/>
          <w:lang w:val="en-US" w:eastAsia="zh-CN"/>
        </w:rPr>
        <w:t>25.80</w:t>
      </w:r>
      <w:r>
        <w:rPr>
          <w:rFonts w:hint="eastAsia" w:ascii="仿宋_GB2312" w:hAnsi="仿宋_GB2312" w:eastAsia="仿宋_GB2312" w:cs="仿宋_GB2312"/>
          <w:b w:val="0"/>
          <w:bCs w:val="0"/>
          <w:sz w:val="32"/>
          <w:szCs w:val="32"/>
          <w:highlight w:val="none"/>
        </w:rPr>
        <w:t>万元，全年预算</w:t>
      </w:r>
      <w:r>
        <w:rPr>
          <w:rFonts w:hint="eastAsia" w:ascii="仿宋_GB2312" w:hAnsi="仿宋_GB2312" w:eastAsia="仿宋_GB2312" w:cs="仿宋_GB2312"/>
          <w:b w:val="0"/>
          <w:bCs w:val="0"/>
          <w:sz w:val="32"/>
          <w:szCs w:val="32"/>
          <w:highlight w:val="none"/>
          <w:lang w:val="en-US" w:eastAsia="zh-CN"/>
        </w:rPr>
        <w:t>25.8</w:t>
      </w:r>
      <w:r>
        <w:rPr>
          <w:rFonts w:hint="eastAsia" w:ascii="仿宋_GB2312" w:hAnsi="仿宋_GB2312" w:eastAsia="仿宋_GB2312" w:cs="仿宋_GB2312"/>
          <w:b w:val="0"/>
          <w:bCs w:val="0"/>
          <w:sz w:val="32"/>
          <w:szCs w:val="32"/>
          <w:highlight w:val="none"/>
        </w:rPr>
        <w:t>万元，实际支出</w:t>
      </w:r>
      <w:r>
        <w:rPr>
          <w:rFonts w:hint="eastAsia" w:ascii="仿宋_GB2312" w:hAnsi="仿宋_GB2312" w:eastAsia="仿宋_GB2312" w:cs="仿宋_GB2312"/>
          <w:b w:val="0"/>
          <w:bCs w:val="0"/>
          <w:sz w:val="32"/>
          <w:szCs w:val="32"/>
          <w:highlight w:val="none"/>
          <w:lang w:val="en-US" w:eastAsia="zh-CN"/>
        </w:rPr>
        <w:t>22.60</w:t>
      </w:r>
      <w:r>
        <w:rPr>
          <w:rFonts w:hint="eastAsia" w:ascii="仿宋_GB2312" w:hAnsi="仿宋_GB2312" w:eastAsia="仿宋_GB2312" w:cs="仿宋_GB2312"/>
          <w:b w:val="0"/>
          <w:bCs w:val="0"/>
          <w:sz w:val="32"/>
          <w:szCs w:val="32"/>
          <w:highlight w:val="none"/>
        </w:rPr>
        <w:t>万元，预算执行率为</w:t>
      </w:r>
      <w:r>
        <w:rPr>
          <w:rFonts w:hint="eastAsia" w:ascii="仿宋_GB2312" w:hAnsi="仿宋_GB2312" w:eastAsia="仿宋_GB2312" w:cs="仿宋_GB2312"/>
          <w:b w:val="0"/>
          <w:bCs w:val="0"/>
          <w:sz w:val="32"/>
          <w:szCs w:val="32"/>
          <w:highlight w:val="none"/>
          <w:lang w:val="en-US" w:eastAsia="zh-CN"/>
        </w:rPr>
        <w:t>87.60</w:t>
      </w:r>
      <w:r>
        <w:rPr>
          <w:rFonts w:hint="eastAsia" w:ascii="仿宋_GB2312" w:hAnsi="仿宋_GB2312" w:eastAsia="仿宋_GB2312" w:cs="仿宋_GB2312"/>
          <w:b w:val="0"/>
          <w:bCs w:val="0"/>
          <w:sz w:val="32"/>
          <w:szCs w:val="32"/>
          <w:highlight w:val="none"/>
        </w:rPr>
        <w:t>%，项目绩效指标总体完成率为</w:t>
      </w:r>
      <w:r>
        <w:rPr>
          <w:rFonts w:hint="eastAsia" w:ascii="仿宋_GB2312" w:hAnsi="仿宋_GB2312" w:eastAsia="仿宋_GB2312" w:cs="仿宋_GB2312"/>
          <w:b w:val="0"/>
          <w:bCs w:val="0"/>
          <w:sz w:val="32"/>
          <w:szCs w:val="32"/>
          <w:highlight w:val="none"/>
          <w:lang w:val="en-US" w:eastAsia="zh-CN"/>
        </w:rPr>
        <w:t>98.23</w:t>
      </w:r>
      <w:r>
        <w:rPr>
          <w:rFonts w:hint="eastAsia" w:ascii="仿宋_GB2312" w:hAnsi="仿宋_GB2312" w:eastAsia="仿宋_GB2312" w:cs="仿宋_GB2312"/>
          <w:b w:val="0"/>
          <w:bCs w:val="0"/>
          <w:sz w:val="32"/>
          <w:szCs w:val="32"/>
          <w:highlight w:val="none"/>
        </w:rPr>
        <w:t>%，</w:t>
      </w:r>
      <w:r>
        <w:rPr>
          <w:rFonts w:hint="eastAsia" w:ascii="仿宋_GB2312" w:hAnsi="仿宋_GB2312" w:eastAsia="仿宋_GB2312" w:cs="仿宋_GB2312"/>
          <w:b w:val="0"/>
          <w:bCs w:val="0"/>
          <w:sz w:val="32"/>
          <w:szCs w:val="32"/>
          <w:highlight w:val="none"/>
          <w:lang w:eastAsia="zh-Hans"/>
        </w:rPr>
        <w:t>总体</w:t>
      </w:r>
      <w:r>
        <w:rPr>
          <w:rFonts w:hint="eastAsia" w:ascii="仿宋_GB2312" w:hAnsi="仿宋_GB2312" w:eastAsia="仿宋_GB2312" w:cs="仿宋_GB2312"/>
          <w:b w:val="0"/>
          <w:bCs w:val="0"/>
          <w:sz w:val="32"/>
          <w:szCs w:val="32"/>
          <w:highlight w:val="none"/>
        </w:rPr>
        <w:t>偏差率为</w:t>
      </w:r>
      <w:r>
        <w:rPr>
          <w:rFonts w:hint="eastAsia" w:ascii="仿宋_GB2312" w:hAnsi="仿宋_GB2312" w:eastAsia="仿宋_GB2312" w:cs="仿宋_GB2312"/>
          <w:b w:val="0"/>
          <w:bCs w:val="0"/>
          <w:sz w:val="32"/>
          <w:szCs w:val="32"/>
          <w:highlight w:val="none"/>
          <w:lang w:val="en-US" w:eastAsia="zh-CN"/>
        </w:rPr>
        <w:t>10.63</w:t>
      </w:r>
      <w:r>
        <w:rPr>
          <w:rFonts w:hint="eastAsia" w:ascii="仿宋_GB2312" w:hAnsi="仿宋_GB2312" w:eastAsia="仿宋_GB2312" w:cs="仿宋_GB2312"/>
          <w:b w:val="0"/>
          <w:bCs w:val="0"/>
          <w:sz w:val="32"/>
          <w:szCs w:val="32"/>
          <w:highlight w:val="none"/>
        </w:rPr>
        <w:t>%</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lang w:eastAsia="zh-Hans"/>
        </w:rPr>
        <w:t>偏差</w:t>
      </w:r>
      <w:r>
        <w:rPr>
          <w:rFonts w:hint="eastAsia" w:ascii="仿宋_GB2312" w:hAnsi="仿宋_GB2312" w:eastAsia="仿宋_GB2312" w:cs="仿宋_GB2312"/>
          <w:b w:val="0"/>
          <w:bCs w:val="0"/>
          <w:sz w:val="32"/>
          <w:szCs w:val="32"/>
          <w:highlight w:val="none"/>
        </w:rPr>
        <w:t>原因</w:t>
      </w:r>
      <w:r>
        <w:rPr>
          <w:rFonts w:hint="eastAsia" w:ascii="仿宋_GB2312" w:hAnsi="仿宋_GB2312" w:eastAsia="仿宋_GB2312" w:cs="仿宋_GB2312"/>
          <w:b w:val="0"/>
          <w:bCs w:val="0"/>
          <w:sz w:val="32"/>
          <w:szCs w:val="32"/>
          <w:highlight w:val="none"/>
          <w:lang w:val="en-US" w:eastAsia="zh-CN"/>
        </w:rPr>
        <w:t>预算执行率有偏差，无线电业务运维项目购置高性能手持式频谱分析仪，预算为25.80万元，中标价22.60万元，预算执行率为87.60</w:t>
      </w:r>
      <w:r>
        <w:rPr>
          <w:rFonts w:hint="eastAsia" w:ascii="仿宋_GB2312" w:hAnsi="仿宋_GB2312" w:eastAsia="仿宋_GB2312" w:cs="仿宋_GB2312"/>
          <w:b w:val="0"/>
          <w:bCs w:val="0"/>
          <w:sz w:val="32"/>
          <w:szCs w:val="32"/>
          <w:highlight w:val="none"/>
        </w:rPr>
        <w:t>，</w:t>
      </w:r>
      <w:r>
        <w:rPr>
          <w:rFonts w:hint="eastAsia" w:ascii="仿宋_GB2312" w:hAnsi="仿宋_GB2312" w:eastAsia="仿宋_GB2312" w:cs="仿宋_GB2312"/>
          <w:b w:val="0"/>
          <w:bCs w:val="0"/>
          <w:sz w:val="32"/>
          <w:szCs w:val="32"/>
          <w:highlight w:val="none"/>
          <w:lang w:eastAsia="zh-Hans"/>
        </w:rPr>
        <w:t>改进</w:t>
      </w:r>
      <w:r>
        <w:rPr>
          <w:rFonts w:hint="eastAsia" w:ascii="仿宋_GB2312" w:hAnsi="仿宋_GB2312" w:eastAsia="仿宋_GB2312" w:cs="仿宋_GB2312"/>
          <w:b w:val="0"/>
          <w:bCs w:val="0"/>
          <w:sz w:val="32"/>
          <w:szCs w:val="32"/>
          <w:highlight w:val="none"/>
        </w:rPr>
        <w:t>措施</w:t>
      </w:r>
      <w:r>
        <w:rPr>
          <w:rFonts w:hint="eastAsia" w:ascii="仿宋_GB2312" w:hAnsi="仿宋_GB2312" w:eastAsia="仿宋_GB2312" w:cs="仿宋_GB2312"/>
          <w:b w:val="0"/>
          <w:bCs w:val="0"/>
          <w:sz w:val="32"/>
          <w:szCs w:val="32"/>
          <w:highlight w:val="none"/>
          <w:lang w:val="en-US" w:eastAsia="zh-CN"/>
        </w:rPr>
        <w:t>今后预算编制时，充分考量 “厉行节约、提质增效” 原则，提前精准预估各项支出，将节约资金的目标融入预算明细规划，提高预算编制的准确性与前瞻性</w:t>
      </w:r>
      <w:r>
        <w:rPr>
          <w:rFonts w:hint="eastAsia" w:ascii="仿宋_GB2312" w:hAnsi="仿宋_GB2312" w:eastAsia="仿宋_GB2312" w:cs="仿宋_GB2312"/>
          <w:b w:val="0"/>
          <w:bCs w:val="0"/>
          <w:sz w:val="32"/>
          <w:szCs w:val="32"/>
          <w:highlight w:val="none"/>
        </w:rPr>
        <w:t>。</w:t>
      </w:r>
    </w:p>
    <w:p w14:paraId="485223DB">
      <w:pPr>
        <w:pageBreakBefore w:val="0"/>
        <w:kinsoku/>
        <w:wordWrap/>
        <w:overflowPunct/>
        <w:topLinePunct w:val="0"/>
        <w:autoSpaceDE/>
        <w:autoSpaceDN/>
        <w:bidi w:val="0"/>
        <w:adjustRightInd/>
        <w:snapToGrid/>
        <w:spacing w:line="580" w:lineRule="exact"/>
        <w:ind w:firstLine="640" w:firstLineChars="200"/>
        <w:textAlignment w:val="auto"/>
        <w:rPr>
          <w:rStyle w:val="19"/>
          <w:rFonts w:hint="default" w:ascii="Times New Roman" w:hAnsi="Times New Roman" w:cs="Times New Roman"/>
          <w:color w:val="auto"/>
        </w:rPr>
      </w:pPr>
      <w:r>
        <w:rPr>
          <w:rFonts w:hint="eastAsia" w:eastAsia="黑体" w:cs="Times New Roman"/>
          <w:sz w:val="32"/>
          <w:szCs w:val="32"/>
          <w:lang w:val="en-US" w:eastAsia="zh-CN"/>
        </w:rPr>
        <w:t>六</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主要经验及做法、存在的问题及原因分析</w:t>
      </w:r>
    </w:p>
    <w:p w14:paraId="4B9412C8">
      <w:pPr>
        <w:pageBreakBefore w:val="0"/>
        <w:kinsoku/>
        <w:wordWrap/>
        <w:overflowPunct/>
        <w:topLinePunct w:val="0"/>
        <w:autoSpaceDE/>
        <w:autoSpaceDN/>
        <w:bidi w:val="0"/>
        <w:adjustRightInd/>
        <w:snapToGrid/>
        <w:spacing w:line="580" w:lineRule="exact"/>
        <w:ind w:firstLine="627" w:firstLineChars="200"/>
        <w:textAlignment w:val="auto"/>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14:paraId="5AF9C167">
      <w:pPr>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263A5141">
      <w:pPr>
        <w:pStyle w:val="11"/>
        <w:pageBreakBefore w:val="0"/>
        <w:kinsoku/>
        <w:wordWrap/>
        <w:overflowPunct/>
        <w:topLinePunct w:val="0"/>
        <w:autoSpaceDE/>
        <w:autoSpaceDN/>
        <w:bidi w:val="0"/>
        <w:adjustRightInd/>
        <w:snapToGrid/>
        <w:spacing w:before="0" w:after="0" w:line="580" w:lineRule="exact"/>
        <w:ind w:firstLine="640" w:firstLineChars="200"/>
        <w:jc w:val="left"/>
        <w:textAlignment w:val="auto"/>
        <w:rPr>
          <w:rFonts w:hint="default" w:ascii="Times New Roman" w:hAnsi="Times New Roman" w:eastAsia="仿宋_GB2312" w:cs="Times New Roman"/>
          <w:b w:val="0"/>
          <w:bCs w:val="0"/>
          <w:kern w:val="2"/>
          <w:sz w:val="32"/>
          <w:szCs w:val="32"/>
        </w:rPr>
      </w:pPr>
      <w:r>
        <w:rPr>
          <w:rFonts w:hint="default" w:ascii="Times New Roman" w:hAnsi="Times New Roman" w:eastAsia="仿宋_GB2312" w:cs="Times New Roman"/>
          <w:b w:val="0"/>
          <w:bCs w:val="0"/>
          <w:kern w:val="2"/>
          <w:sz w:val="32"/>
          <w:szCs w:val="32"/>
        </w:rPr>
        <w:t>严格坚持先做事、后验收、再拨付的原则，</w:t>
      </w:r>
      <w:r>
        <w:rPr>
          <w:rFonts w:hint="eastAsia" w:ascii="Times New Roman" w:hAnsi="Times New Roman" w:eastAsia="仿宋_GB2312" w:cs="Times New Roman"/>
          <w:b w:val="0"/>
          <w:bCs w:val="0"/>
          <w:kern w:val="2"/>
          <w:sz w:val="32"/>
          <w:szCs w:val="32"/>
          <w:lang w:eastAsia="zh-CN"/>
        </w:rPr>
        <w:t>杜绝</w:t>
      </w:r>
      <w:r>
        <w:rPr>
          <w:rFonts w:hint="default" w:ascii="Times New Roman" w:hAnsi="Times New Roman" w:eastAsia="仿宋_GB2312" w:cs="Times New Roman"/>
          <w:b w:val="0"/>
          <w:bCs w:val="0"/>
          <w:kern w:val="2"/>
          <w:sz w:val="32"/>
          <w:szCs w:val="32"/>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1341AE9C">
      <w:pPr>
        <w:keepNext/>
        <w:keepLines/>
        <w:pageBreakBefore w:val="0"/>
        <w:numPr>
          <w:ilvl w:val="0"/>
          <w:numId w:val="6"/>
        </w:numPr>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14:paraId="1F41D66C">
      <w:pPr>
        <w:pageBreakBefore w:val="0"/>
        <w:shd w:val="clear"/>
        <w:kinsoku/>
        <w:wordWrap/>
        <w:overflowPunct/>
        <w:topLinePunct w:val="0"/>
        <w:autoSpaceDE/>
        <w:autoSpaceDN/>
        <w:bidi w:val="0"/>
        <w:adjustRightInd/>
        <w:snapToGrid/>
        <w:spacing w:line="58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449D0B97">
      <w:pPr>
        <w:pageBreakBefore w:val="0"/>
        <w:shd w:val="clear"/>
        <w:kinsoku/>
        <w:wordWrap/>
        <w:overflowPunct/>
        <w:topLinePunct w:val="0"/>
        <w:autoSpaceDE/>
        <w:autoSpaceDN/>
        <w:bidi w:val="0"/>
        <w:adjustRightInd/>
        <w:snapToGrid/>
        <w:spacing w:line="58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2.因轮岗、调动等因素使我单位绩效工作人员流动频繁，造成工作衔接不到位的情况。</w:t>
      </w:r>
    </w:p>
    <w:p w14:paraId="7F97DC28">
      <w:pPr>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黑体" w:cs="Times New Roman"/>
          <w:sz w:val="32"/>
          <w:szCs w:val="32"/>
          <w:lang w:val="en-US" w:eastAsia="zh-CN"/>
        </w:rPr>
        <w:t>.</w:t>
      </w:r>
      <w:r>
        <w:rPr>
          <w:rFonts w:hint="default" w:ascii="Times New Roman" w:hAnsi="Times New Roman" w:eastAsia="黑体" w:cs="Times New Roman"/>
          <w:sz w:val="32"/>
          <w:szCs w:val="32"/>
        </w:rPr>
        <w:t>有关建议</w:t>
      </w:r>
    </w:p>
    <w:p w14:paraId="09E560F1">
      <w:pPr>
        <w:pageBreakBefore w:val="0"/>
        <w:shd w:val="clear"/>
        <w:kinsoku/>
        <w:wordWrap/>
        <w:overflowPunct/>
        <w:topLinePunct w:val="0"/>
        <w:autoSpaceDE/>
        <w:autoSpaceDN/>
        <w:bidi w:val="0"/>
        <w:adjustRightInd/>
        <w:snapToGrid/>
        <w:spacing w:line="58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1.多进行有关绩效管理工作方面的培训。积极组织第三方开展绩效管理工作培训，进一步夯实业务基础，提高我单位绩效人员水平。</w:t>
      </w:r>
    </w:p>
    <w:p w14:paraId="2CE1BF27">
      <w:pPr>
        <w:pageBreakBefore w:val="0"/>
        <w:shd w:val="clear"/>
        <w:kinsoku/>
        <w:wordWrap/>
        <w:overflowPunct/>
        <w:topLinePunct w:val="0"/>
        <w:autoSpaceDE/>
        <w:autoSpaceDN/>
        <w:bidi w:val="0"/>
        <w:adjustRightInd/>
        <w:snapToGrid/>
        <w:spacing w:line="58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2.专门设定对绩效工作人员定职、定岗、定责等相关制度措施，进一步提升我单位绩效管理工作业务水平，扎实做好绩效管理工作。</w:t>
      </w:r>
    </w:p>
    <w:p w14:paraId="3EF5E1F4">
      <w:pPr>
        <w:pageBreakBefore w:val="0"/>
        <w:shd w:val="clear"/>
        <w:kinsoku/>
        <w:wordWrap/>
        <w:overflowPunct/>
        <w:topLinePunct w:val="0"/>
        <w:autoSpaceDE/>
        <w:autoSpaceDN/>
        <w:bidi w:val="0"/>
        <w:adjustRightInd/>
        <w:snapToGrid/>
        <w:spacing w:line="58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10937C2F">
      <w:pPr>
        <w:pageBreakBefore w:val="0"/>
        <w:shd w:val="clear"/>
        <w:kinsoku/>
        <w:wordWrap/>
        <w:overflowPunct/>
        <w:topLinePunct w:val="0"/>
        <w:autoSpaceDE/>
        <w:autoSpaceDN/>
        <w:bidi w:val="0"/>
        <w:adjustRightInd/>
        <w:snapToGrid/>
        <w:spacing w:line="580" w:lineRule="exact"/>
        <w:ind w:firstLine="640" w:firstLineChars="200"/>
        <w:textAlignment w:val="auto"/>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sz w:val="32"/>
          <w:szCs w:val="32"/>
        </w:rPr>
        <w:t>。</w:t>
      </w:r>
    </w:p>
    <w:p w14:paraId="38AF9A65">
      <w:pPr>
        <w:pageBreakBefore w:val="0"/>
        <w:shd w:val="clear"/>
        <w:kinsoku/>
        <w:wordWrap/>
        <w:overflowPunct/>
        <w:topLinePunct w:val="0"/>
        <w:autoSpaceDE/>
        <w:autoSpaceDN/>
        <w:bidi w:val="0"/>
        <w:adjustRightInd/>
        <w:snapToGrid/>
        <w:spacing w:line="58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4C9DAAFC">
      <w:pPr>
        <w:pageBreakBefore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黑体" w:cs="Times New Roman"/>
          <w:sz w:val="32"/>
          <w:szCs w:val="32"/>
        </w:rPr>
      </w:pPr>
      <w:r>
        <w:rPr>
          <w:rFonts w:hint="eastAsia" w:eastAsia="黑体" w:cs="Times New Roman"/>
          <w:sz w:val="32"/>
          <w:szCs w:val="32"/>
          <w:lang w:val="en-US" w:eastAsia="zh-CN"/>
        </w:rPr>
        <w:t>八</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其他需要说</w:t>
      </w:r>
      <w:bookmarkStart w:id="0" w:name="page8"/>
      <w:bookmarkEnd w:id="0"/>
      <w:r>
        <w:rPr>
          <w:rFonts w:hint="default" w:ascii="Times New Roman" w:hAnsi="Times New Roman" w:eastAsia="黑体" w:cs="Times New Roman"/>
          <w:sz w:val="32"/>
          <w:szCs w:val="32"/>
        </w:rPr>
        <w:t>明的问题</w:t>
      </w:r>
    </w:p>
    <w:p w14:paraId="31B44428">
      <w:pPr>
        <w:pStyle w:val="14"/>
        <w:pageBreakBefore w:val="0"/>
        <w:kinsoku/>
        <w:wordWrap/>
        <w:overflowPunct/>
        <w:topLinePunct w:val="0"/>
        <w:autoSpaceDE/>
        <w:autoSpaceDN/>
        <w:bidi w:val="0"/>
        <w:adjustRightInd/>
        <w:snapToGrid/>
        <w:spacing w:after="0" w:line="580" w:lineRule="exact"/>
        <w:ind w:left="0" w:leftChars="0" w:firstLine="640" w:firstLineChars="200"/>
        <w:textAlignment w:val="auto"/>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本项目无其他需说明的问题。</w:t>
      </w:r>
    </w:p>
    <w:p w14:paraId="34A776E0">
      <w:pPr>
        <w:pStyle w:val="14"/>
        <w:spacing w:after="0" w:line="560" w:lineRule="exact"/>
        <w:ind w:left="0" w:leftChars="0" w:firstLine="640"/>
        <w:rPr>
          <w:rFonts w:hint="eastAsia" w:ascii="Times New Roman" w:hAnsi="Times New Roman" w:eastAsia="仿宋_GB2312" w:cs="Times New Roman"/>
          <w:sz w:val="32"/>
          <w:szCs w:val="32"/>
          <w:lang w:eastAsia="zh-CN"/>
        </w:rPr>
      </w:pPr>
    </w:p>
    <w:p w14:paraId="47885588">
      <w:pPr>
        <w:pStyle w:val="14"/>
        <w:spacing w:after="0" w:line="560" w:lineRule="exact"/>
        <w:ind w:left="0" w:leftChars="0" w:firstLine="640"/>
        <w:rPr>
          <w:rFonts w:hint="eastAsia" w:ascii="Times New Roman" w:hAnsi="Times New Roman" w:eastAsia="仿宋_GB2312" w:cs="Times New Roman"/>
          <w:sz w:val="32"/>
          <w:szCs w:val="32"/>
          <w:lang w:eastAsia="zh-CN"/>
        </w:rPr>
      </w:pPr>
    </w:p>
    <w:p w14:paraId="5040D6D7">
      <w:pPr>
        <w:pStyle w:val="14"/>
        <w:spacing w:after="0" w:line="560" w:lineRule="exact"/>
        <w:ind w:left="0" w:leftChars="0" w:firstLine="640"/>
        <w:rPr>
          <w:rFonts w:hint="eastAsia" w:ascii="Times New Roman" w:hAnsi="Times New Roman" w:eastAsia="仿宋_GB2312" w:cs="Times New Roman"/>
          <w:sz w:val="32"/>
          <w:szCs w:val="32"/>
          <w:lang w:eastAsia="zh-CN"/>
        </w:rPr>
      </w:pPr>
    </w:p>
    <w:p w14:paraId="28E07664">
      <w:pPr>
        <w:pStyle w:val="14"/>
        <w:spacing w:after="0" w:line="560" w:lineRule="exact"/>
        <w:ind w:left="0" w:leftChars="0" w:firstLine="640"/>
        <w:rPr>
          <w:rFonts w:hint="eastAsia" w:ascii="Times New Roman" w:hAnsi="Times New Roman" w:eastAsia="仿宋_GB2312" w:cs="Times New Roman"/>
          <w:sz w:val="32"/>
          <w:szCs w:val="32"/>
          <w:lang w:eastAsia="zh-CN"/>
        </w:rPr>
      </w:pPr>
    </w:p>
    <w:p w14:paraId="41E15CEC">
      <w:pPr>
        <w:pStyle w:val="14"/>
        <w:spacing w:after="0" w:line="560" w:lineRule="exact"/>
        <w:ind w:left="0" w:leftChars="0" w:firstLine="640"/>
        <w:rPr>
          <w:rFonts w:hint="eastAsia" w:ascii="Times New Roman" w:hAnsi="Times New Roman" w:eastAsia="仿宋_GB2312" w:cs="Times New Roman"/>
          <w:sz w:val="32"/>
          <w:szCs w:val="32"/>
          <w:lang w:eastAsia="zh-CN"/>
        </w:rPr>
      </w:pPr>
    </w:p>
    <w:p w14:paraId="6035115D">
      <w:pPr>
        <w:pStyle w:val="14"/>
        <w:spacing w:after="0" w:line="560" w:lineRule="exact"/>
        <w:ind w:left="0" w:leftChars="0" w:firstLine="640"/>
        <w:rPr>
          <w:rFonts w:hint="eastAsia" w:ascii="Times New Roman" w:hAnsi="Times New Roman" w:eastAsia="仿宋_GB2312" w:cs="Times New Roman"/>
          <w:sz w:val="32"/>
          <w:szCs w:val="32"/>
          <w:lang w:eastAsia="zh-CN"/>
        </w:rPr>
        <w:sectPr>
          <w:footerReference r:id="rId3" w:type="default"/>
          <w:pgSz w:w="11906" w:h="16838"/>
          <w:pgMar w:top="1440" w:right="1559" w:bottom="1440" w:left="1236" w:header="851" w:footer="992" w:gutter="0"/>
          <w:cols w:space="425" w:num="1"/>
          <w:docGrid w:type="lines" w:linePitch="312" w:charSpace="0"/>
        </w:sectPr>
      </w:pPr>
    </w:p>
    <w:p w14:paraId="435B6B95">
      <w:pPr>
        <w:pStyle w:val="14"/>
        <w:spacing w:after="0" w:line="560" w:lineRule="exact"/>
        <w:ind w:left="0" w:leftChars="0" w:firstLine="0" w:firstLineChars="0"/>
        <w:rPr>
          <w:rFonts w:hint="eastAsia" w:ascii="Times New Roman" w:hAnsi="Times New Roman" w:eastAsia="仿宋_GB2312" w:cs="Times New Roman"/>
          <w:sz w:val="32"/>
          <w:szCs w:val="32"/>
          <w:lang w:eastAsia="zh-CN"/>
        </w:rPr>
      </w:pPr>
    </w:p>
    <w:p w14:paraId="374E3BB6">
      <w:pPr>
        <w:spacing w:line="600" w:lineRule="exact"/>
        <w:rPr>
          <w:rFonts w:hint="eastAsia" w:eastAsia="黑体" w:cs="Times New Roman"/>
          <w:sz w:val="32"/>
          <w:szCs w:val="32"/>
          <w:highlight w:val="none"/>
          <w:lang w:val="en-US" w:eastAsia="zh-CN"/>
        </w:rPr>
      </w:pPr>
      <w:r>
        <w:rPr>
          <w:rFonts w:hint="eastAsia" w:ascii="Times New Roman" w:hAnsi="Times New Roman" w:eastAsia="黑体" w:cs="Times New Roman"/>
          <w:sz w:val="32"/>
          <w:szCs w:val="32"/>
          <w:highlight w:val="none"/>
          <w:lang w:val="en-US" w:eastAsia="zh-CN"/>
        </w:rPr>
        <w:t>附件</w:t>
      </w:r>
      <w:r>
        <w:rPr>
          <w:rFonts w:hint="eastAsia" w:eastAsia="黑体" w:cs="Times New Roman"/>
          <w:sz w:val="32"/>
          <w:szCs w:val="32"/>
          <w:highlight w:val="none"/>
          <w:lang w:val="en-US" w:eastAsia="zh-CN"/>
        </w:rPr>
        <w:t>1</w:t>
      </w:r>
    </w:p>
    <w:p w14:paraId="0C943A97">
      <w:pPr>
        <w:pStyle w:val="20"/>
        <w:ind w:firstLine="562"/>
        <w:jc w:val="center"/>
        <w:rPr>
          <w:rFonts w:hint="eastAsia" w:ascii="仿宋_GB2312" w:hAnsi="仿宋_GB2312" w:eastAsia="仿宋_GB2312" w:cs="仿宋_GB2312"/>
          <w:b/>
          <w:bCs/>
          <w:sz w:val="28"/>
          <w:szCs w:val="28"/>
          <w:highlight w:val="none"/>
        </w:rPr>
      </w:pPr>
      <w:bookmarkStart w:id="1" w:name="_Toc26499_WPSOffice_Level2"/>
      <w:bookmarkStart w:id="2" w:name="_Toc30064_WPSOffice_Level1"/>
      <w:r>
        <w:rPr>
          <w:rFonts w:hint="eastAsia" w:ascii="仿宋_GB2312" w:hAnsi="仿宋_GB2312" w:eastAsia="仿宋_GB2312" w:cs="仿宋_GB2312"/>
          <w:b/>
          <w:bCs/>
          <w:kern w:val="0"/>
          <w:sz w:val="28"/>
          <w:szCs w:val="28"/>
          <w:highlight w:val="none"/>
        </w:rPr>
        <w:t>无线电业务运维项目</w:t>
      </w:r>
      <w:r>
        <w:rPr>
          <w:rFonts w:hint="eastAsia" w:ascii="仿宋_GB2312" w:hAnsi="仿宋_GB2312" w:eastAsia="仿宋_GB2312" w:cs="仿宋_GB2312"/>
          <w:b/>
          <w:bCs/>
          <w:sz w:val="28"/>
          <w:szCs w:val="28"/>
          <w:highlight w:val="none"/>
        </w:rPr>
        <w:t>项目绩效评价指标体系及综合评分表</w:t>
      </w:r>
      <w:bookmarkEnd w:id="1"/>
      <w:bookmarkEnd w:id="2"/>
    </w:p>
    <w:tbl>
      <w:tblPr>
        <w:tblStyle w:val="15"/>
        <w:tblW w:w="1287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695"/>
        <w:gridCol w:w="1422"/>
        <w:gridCol w:w="1360"/>
        <w:gridCol w:w="1240"/>
        <w:gridCol w:w="4256"/>
        <w:gridCol w:w="1285"/>
        <w:gridCol w:w="1615"/>
      </w:tblGrid>
      <w:tr w14:paraId="406AFB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1695" w:type="dxa"/>
            <w:shd w:val="clear" w:color="auto" w:fill="FFFFFF"/>
            <w:vAlign w:val="center"/>
          </w:tcPr>
          <w:p w14:paraId="52250BE4">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一级指标</w:t>
            </w:r>
          </w:p>
        </w:tc>
        <w:tc>
          <w:tcPr>
            <w:tcW w:w="1422" w:type="dxa"/>
            <w:shd w:val="clear" w:color="auto" w:fill="FFFFFF"/>
            <w:vAlign w:val="center"/>
          </w:tcPr>
          <w:p w14:paraId="3231C6FF">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二级指标</w:t>
            </w:r>
          </w:p>
        </w:tc>
        <w:tc>
          <w:tcPr>
            <w:tcW w:w="1360" w:type="dxa"/>
            <w:shd w:val="clear" w:color="auto" w:fill="FFFFFF"/>
            <w:vAlign w:val="center"/>
          </w:tcPr>
          <w:p w14:paraId="0612EC86">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三级指标</w:t>
            </w:r>
          </w:p>
        </w:tc>
        <w:tc>
          <w:tcPr>
            <w:tcW w:w="1240" w:type="dxa"/>
            <w:shd w:val="clear" w:color="auto" w:fill="FFFFFF"/>
            <w:vAlign w:val="center"/>
          </w:tcPr>
          <w:p w14:paraId="1294502B">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指标解释</w:t>
            </w:r>
          </w:p>
        </w:tc>
        <w:tc>
          <w:tcPr>
            <w:tcW w:w="4256" w:type="dxa"/>
            <w:shd w:val="clear" w:color="auto" w:fill="FFFFFF"/>
            <w:vAlign w:val="center"/>
          </w:tcPr>
          <w:p w14:paraId="49E2D914">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指标说明</w:t>
            </w:r>
          </w:p>
        </w:tc>
        <w:tc>
          <w:tcPr>
            <w:tcW w:w="1285" w:type="dxa"/>
            <w:shd w:val="clear" w:color="auto" w:fill="FFFFFF"/>
            <w:vAlign w:val="center"/>
          </w:tcPr>
          <w:p w14:paraId="35F3D057">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权重</w:t>
            </w:r>
          </w:p>
        </w:tc>
        <w:tc>
          <w:tcPr>
            <w:tcW w:w="1615" w:type="dxa"/>
            <w:shd w:val="clear" w:color="auto" w:fill="FFFFFF"/>
            <w:vAlign w:val="center"/>
          </w:tcPr>
          <w:p w14:paraId="67F2A295">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得分</w:t>
            </w:r>
          </w:p>
        </w:tc>
      </w:tr>
      <w:tr w14:paraId="19BE90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643" w:hRule="atLeast"/>
          <w:jc w:val="center"/>
        </w:trPr>
        <w:tc>
          <w:tcPr>
            <w:tcW w:w="1695" w:type="dxa"/>
            <w:vMerge w:val="restart"/>
            <w:shd w:val="clear" w:color="auto" w:fill="FFFFFF"/>
            <w:vAlign w:val="center"/>
          </w:tcPr>
          <w:p w14:paraId="737C9A0C">
            <w:pPr>
              <w:widowControl/>
              <w:spacing w:line="0" w:lineRule="atLeast"/>
              <w:jc w:val="center"/>
              <w:rPr>
                <w:rFonts w:hint="default" w:ascii="Times New Roman" w:hAnsi="Times New Roman" w:eastAsia="仿宋_GB2312" w:cs="Times New Roman"/>
                <w:color w:val="000000"/>
                <w:kern w:val="0"/>
                <w:sz w:val="18"/>
                <w:szCs w:val="18"/>
                <w:highlight w:val="none"/>
              </w:rPr>
            </w:pPr>
          </w:p>
          <w:p w14:paraId="030CA9A4">
            <w:pPr>
              <w:widowControl/>
              <w:spacing w:line="0" w:lineRule="atLeast"/>
              <w:jc w:val="center"/>
              <w:rPr>
                <w:rFonts w:hint="default" w:ascii="Times New Roman" w:hAnsi="Times New Roman" w:eastAsia="仿宋_GB2312" w:cs="Times New Roman"/>
                <w:color w:val="000000"/>
                <w:kern w:val="0"/>
                <w:sz w:val="18"/>
                <w:szCs w:val="18"/>
                <w:highlight w:val="none"/>
              </w:rPr>
            </w:pPr>
          </w:p>
          <w:p w14:paraId="1DD2204F">
            <w:pPr>
              <w:widowControl/>
              <w:spacing w:line="0" w:lineRule="atLeast"/>
              <w:jc w:val="center"/>
              <w:rPr>
                <w:rFonts w:hint="default" w:ascii="Times New Roman" w:hAnsi="Times New Roman" w:eastAsia="仿宋_GB2312" w:cs="Times New Roman"/>
                <w:color w:val="000000"/>
                <w:kern w:val="0"/>
                <w:sz w:val="18"/>
                <w:szCs w:val="18"/>
                <w:highlight w:val="none"/>
              </w:rPr>
            </w:pPr>
          </w:p>
          <w:p w14:paraId="6CC05A7B">
            <w:pPr>
              <w:widowControl/>
              <w:spacing w:line="0" w:lineRule="atLeast"/>
              <w:jc w:val="center"/>
              <w:rPr>
                <w:rFonts w:hint="default" w:ascii="Times New Roman" w:hAnsi="Times New Roman" w:eastAsia="仿宋_GB2312" w:cs="Times New Roman"/>
                <w:color w:val="000000"/>
                <w:kern w:val="0"/>
                <w:sz w:val="18"/>
                <w:szCs w:val="18"/>
                <w:highlight w:val="none"/>
              </w:rPr>
            </w:pPr>
          </w:p>
          <w:p w14:paraId="72D57FDD">
            <w:pPr>
              <w:widowControl/>
              <w:spacing w:line="0" w:lineRule="atLeast"/>
              <w:jc w:val="center"/>
              <w:rPr>
                <w:rFonts w:hint="default" w:ascii="Times New Roman" w:hAnsi="Times New Roman" w:eastAsia="仿宋_GB2312" w:cs="Times New Roman"/>
                <w:color w:val="000000"/>
                <w:kern w:val="0"/>
                <w:sz w:val="18"/>
                <w:szCs w:val="18"/>
                <w:highlight w:val="none"/>
              </w:rPr>
            </w:pPr>
          </w:p>
          <w:p w14:paraId="5E1148A9">
            <w:pPr>
              <w:widowControl/>
              <w:spacing w:line="0" w:lineRule="atLeast"/>
              <w:jc w:val="center"/>
              <w:rPr>
                <w:rFonts w:hint="default" w:ascii="Times New Roman" w:hAnsi="Times New Roman" w:eastAsia="仿宋_GB2312" w:cs="Times New Roman"/>
                <w:color w:val="000000"/>
                <w:kern w:val="0"/>
                <w:sz w:val="18"/>
                <w:szCs w:val="18"/>
                <w:highlight w:val="none"/>
              </w:rPr>
            </w:pPr>
          </w:p>
          <w:p w14:paraId="734DF76B">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决策　</w:t>
            </w:r>
          </w:p>
        </w:tc>
        <w:tc>
          <w:tcPr>
            <w:tcW w:w="1422" w:type="dxa"/>
            <w:vMerge w:val="restart"/>
            <w:shd w:val="clear" w:color="auto" w:fill="FFFFFF"/>
            <w:vAlign w:val="center"/>
          </w:tcPr>
          <w:p w14:paraId="6143D1A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　</w:t>
            </w:r>
          </w:p>
        </w:tc>
        <w:tc>
          <w:tcPr>
            <w:tcW w:w="1360" w:type="dxa"/>
            <w:shd w:val="clear" w:color="auto" w:fill="FFFFFF"/>
            <w:vAlign w:val="center"/>
          </w:tcPr>
          <w:p w14:paraId="04C77220">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立项依据</w:t>
            </w:r>
          </w:p>
          <w:p w14:paraId="6C16CD9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充分性</w:t>
            </w:r>
          </w:p>
        </w:tc>
        <w:tc>
          <w:tcPr>
            <w:tcW w:w="1240" w:type="dxa"/>
            <w:shd w:val="clear" w:color="auto" w:fill="FFFFFF"/>
            <w:vAlign w:val="center"/>
          </w:tcPr>
          <w:p w14:paraId="0109E99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项目立项是否符合法律法规、相关政策、发展规划以及部门职责，用以反映和考核项目立项依据情况。</w:t>
            </w:r>
          </w:p>
        </w:tc>
        <w:tc>
          <w:tcPr>
            <w:tcW w:w="4256" w:type="dxa"/>
            <w:shd w:val="clear" w:color="auto" w:fill="FFFFFF"/>
            <w:vAlign w:val="center"/>
          </w:tcPr>
          <w:p w14:paraId="64019394">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②项目立项是否符合行业发展规划和政策要求；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③项目立项是否与部门职责范围相符，属于部门履职所需；</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⑤项目是否与相关部门同类项目或部门内部相关项目重复。</w:t>
            </w:r>
          </w:p>
        </w:tc>
        <w:tc>
          <w:tcPr>
            <w:tcW w:w="1285" w:type="dxa"/>
            <w:shd w:val="clear" w:color="auto" w:fill="FFFFFF"/>
            <w:vAlign w:val="center"/>
          </w:tcPr>
          <w:p w14:paraId="158C0E10">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615" w:type="dxa"/>
            <w:shd w:val="clear" w:color="auto" w:fill="FFFFFF"/>
            <w:vAlign w:val="center"/>
          </w:tcPr>
          <w:p w14:paraId="4A776AA1">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11BED2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695" w:type="dxa"/>
            <w:vMerge w:val="continue"/>
            <w:shd w:val="clear" w:color="auto" w:fill="FFFFFF"/>
            <w:vAlign w:val="center"/>
          </w:tcPr>
          <w:p w14:paraId="191CBBD5">
            <w:pPr>
              <w:spacing w:line="0" w:lineRule="atLeast"/>
              <w:jc w:val="center"/>
              <w:rPr>
                <w:rFonts w:hint="default" w:ascii="Times New Roman" w:hAnsi="Times New Roman" w:eastAsia="仿宋_GB2312" w:cs="Times New Roman"/>
                <w:color w:val="000000"/>
                <w:kern w:val="0"/>
                <w:sz w:val="18"/>
                <w:szCs w:val="18"/>
                <w:highlight w:val="none"/>
              </w:rPr>
            </w:pPr>
          </w:p>
        </w:tc>
        <w:tc>
          <w:tcPr>
            <w:tcW w:w="1422" w:type="dxa"/>
            <w:vMerge w:val="continue"/>
            <w:shd w:val="clear" w:color="auto" w:fill="FFFFFF"/>
            <w:vAlign w:val="center"/>
          </w:tcPr>
          <w:p w14:paraId="5517F908">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360" w:type="dxa"/>
            <w:shd w:val="clear" w:color="auto" w:fill="FFFFFF"/>
            <w:vAlign w:val="center"/>
          </w:tcPr>
          <w:p w14:paraId="7026174B">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立项程序</w:t>
            </w:r>
          </w:p>
          <w:p w14:paraId="0AF0365B">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规范性</w:t>
            </w:r>
          </w:p>
        </w:tc>
        <w:tc>
          <w:tcPr>
            <w:tcW w:w="1240" w:type="dxa"/>
            <w:shd w:val="clear" w:color="auto" w:fill="FFFFFF"/>
            <w:vAlign w:val="center"/>
          </w:tcPr>
          <w:p w14:paraId="4B64A123">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项目申请、设立过程是否符合相关要求，用以反映和考核项目立项的规范情况。</w:t>
            </w:r>
          </w:p>
        </w:tc>
        <w:tc>
          <w:tcPr>
            <w:tcW w:w="4256" w:type="dxa"/>
            <w:shd w:val="clear" w:color="auto" w:fill="FFFFFF"/>
            <w:vAlign w:val="center"/>
          </w:tcPr>
          <w:p w14:paraId="51DA6F40">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①项目是否按照规定的程序申请设立；</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②审批文件、材料是否符合相关要求；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③事前是否已经过必要的可行性研究、专家论证、风险评估、绩效评估、集体决策。</w:t>
            </w:r>
          </w:p>
        </w:tc>
        <w:tc>
          <w:tcPr>
            <w:tcW w:w="1285" w:type="dxa"/>
            <w:shd w:val="clear" w:color="auto" w:fill="FFFFFF"/>
            <w:vAlign w:val="center"/>
          </w:tcPr>
          <w:p w14:paraId="21F66E4E">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615" w:type="dxa"/>
            <w:shd w:val="clear" w:color="auto" w:fill="FFFFFF"/>
            <w:vAlign w:val="center"/>
          </w:tcPr>
          <w:p w14:paraId="561C051C">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3</w:t>
            </w:r>
          </w:p>
        </w:tc>
      </w:tr>
      <w:tr w14:paraId="200FDC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695" w:type="dxa"/>
            <w:vMerge w:val="continue"/>
            <w:shd w:val="clear" w:color="auto" w:fill="FFFFFF"/>
            <w:vAlign w:val="center"/>
          </w:tcPr>
          <w:p w14:paraId="051AE0F3">
            <w:pPr>
              <w:spacing w:line="0" w:lineRule="atLeast"/>
              <w:jc w:val="center"/>
              <w:rPr>
                <w:rFonts w:hint="default" w:ascii="Times New Roman" w:hAnsi="Times New Roman" w:eastAsia="仿宋_GB2312" w:cs="Times New Roman"/>
                <w:color w:val="000000"/>
                <w:kern w:val="0"/>
                <w:sz w:val="18"/>
                <w:szCs w:val="18"/>
                <w:highlight w:val="none"/>
              </w:rPr>
            </w:pPr>
          </w:p>
        </w:tc>
        <w:tc>
          <w:tcPr>
            <w:tcW w:w="1422" w:type="dxa"/>
            <w:vMerge w:val="restart"/>
            <w:shd w:val="clear" w:color="auto" w:fill="FFFFFF"/>
            <w:vAlign w:val="center"/>
          </w:tcPr>
          <w:p w14:paraId="22A0DB0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　</w:t>
            </w:r>
          </w:p>
        </w:tc>
        <w:tc>
          <w:tcPr>
            <w:tcW w:w="1360" w:type="dxa"/>
            <w:shd w:val="clear" w:color="auto" w:fill="FFFFFF"/>
            <w:vAlign w:val="center"/>
          </w:tcPr>
          <w:p w14:paraId="28DA3D7B">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w:t>
            </w:r>
          </w:p>
          <w:p w14:paraId="64AF2CD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240" w:type="dxa"/>
            <w:shd w:val="clear" w:color="000000" w:fill="FFFFFF"/>
            <w:vAlign w:val="center"/>
          </w:tcPr>
          <w:p w14:paraId="07CCED1A">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项目所设定的绩效目标是否依据充分，是否符合客观实际，用以反映和考核项目绩效目标与项目实施的相符情况。</w:t>
            </w:r>
          </w:p>
        </w:tc>
        <w:tc>
          <w:tcPr>
            <w:tcW w:w="4256" w:type="dxa"/>
            <w:shd w:val="clear" w:color="000000" w:fill="FFFFFF"/>
            <w:vAlign w:val="center"/>
          </w:tcPr>
          <w:p w14:paraId="518DC169">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（如未设定预算绩效目标，也可考核其他工作任务目标）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①项目是否有绩效目标；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②项目绩效目标与实际工作内容是否具有相关性；</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③项目预期产出效益和效果是否符合正常的业绩水平；</w:t>
            </w:r>
          </w:p>
          <w:p w14:paraId="74866E3C">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④是否与预算确定的项目投资额或资金量相匹配。</w:t>
            </w:r>
          </w:p>
        </w:tc>
        <w:tc>
          <w:tcPr>
            <w:tcW w:w="1285" w:type="dxa"/>
            <w:shd w:val="clear" w:color="000000" w:fill="FFFFFF"/>
            <w:vAlign w:val="center"/>
          </w:tcPr>
          <w:p w14:paraId="67771E71">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615" w:type="dxa"/>
            <w:shd w:val="clear" w:color="000000" w:fill="FFFFFF"/>
            <w:vAlign w:val="center"/>
          </w:tcPr>
          <w:p w14:paraId="38E97F7F">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1ECA9B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695" w:type="dxa"/>
            <w:vMerge w:val="continue"/>
            <w:shd w:val="clear" w:color="auto" w:fill="FFFFFF"/>
            <w:vAlign w:val="center"/>
          </w:tcPr>
          <w:p w14:paraId="2046706D">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422" w:type="dxa"/>
            <w:vMerge w:val="continue"/>
            <w:shd w:val="clear" w:color="auto" w:fill="FFFFFF"/>
            <w:vAlign w:val="center"/>
          </w:tcPr>
          <w:p w14:paraId="7BA1B789">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360" w:type="dxa"/>
            <w:shd w:val="clear" w:color="auto" w:fill="FFFFFF"/>
            <w:vAlign w:val="center"/>
          </w:tcPr>
          <w:p w14:paraId="03669CA1">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绩效指标</w:t>
            </w:r>
          </w:p>
          <w:p w14:paraId="7E077A7D">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明确性</w:t>
            </w:r>
          </w:p>
        </w:tc>
        <w:tc>
          <w:tcPr>
            <w:tcW w:w="1240" w:type="dxa"/>
            <w:shd w:val="clear" w:color="000000" w:fill="FFFFFF"/>
            <w:vAlign w:val="center"/>
          </w:tcPr>
          <w:p w14:paraId="32D9FF82">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依据绩效目标设定的绩效指标是否清晰、细化、可衡量等，用以反映和考核项目绩效目标的明细化情况。</w:t>
            </w:r>
          </w:p>
        </w:tc>
        <w:tc>
          <w:tcPr>
            <w:tcW w:w="4256" w:type="dxa"/>
            <w:shd w:val="clear" w:color="000000" w:fill="FFFFFF"/>
            <w:vAlign w:val="center"/>
          </w:tcPr>
          <w:p w14:paraId="4EF2F9F0">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①是否将项目绩效目标细化分解为具体的绩效指标；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②是否通过清晰、可衡量的指标值予以体现；</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③是否与项目目标任务数或计划数相对应。</w:t>
            </w:r>
            <w:r>
              <w:rPr>
                <w:rFonts w:hint="default" w:ascii="Times New Roman" w:hAnsi="Times New Roman" w:eastAsia="仿宋_GB2312" w:cs="Times New Roman"/>
                <w:color w:val="000000"/>
                <w:kern w:val="0"/>
                <w:sz w:val="18"/>
                <w:szCs w:val="18"/>
                <w:highlight w:val="none"/>
              </w:rPr>
              <w:br w:type="textWrapping"/>
            </w:r>
          </w:p>
        </w:tc>
        <w:tc>
          <w:tcPr>
            <w:tcW w:w="1285" w:type="dxa"/>
            <w:shd w:val="clear" w:color="000000" w:fill="FFFFFF"/>
            <w:vAlign w:val="center"/>
          </w:tcPr>
          <w:p w14:paraId="5B24048B">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615" w:type="dxa"/>
            <w:shd w:val="clear" w:color="000000" w:fill="FFFFFF"/>
            <w:vAlign w:val="center"/>
          </w:tcPr>
          <w:p w14:paraId="35992134">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384F30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695" w:type="dxa"/>
            <w:vMerge w:val="continue"/>
            <w:shd w:val="clear" w:color="auto" w:fill="FFFFFF"/>
            <w:vAlign w:val="center"/>
          </w:tcPr>
          <w:p w14:paraId="444DFA9D">
            <w:pPr>
              <w:spacing w:line="0" w:lineRule="atLeast"/>
              <w:jc w:val="center"/>
              <w:rPr>
                <w:rFonts w:hint="default" w:ascii="Times New Roman" w:hAnsi="Times New Roman" w:eastAsia="仿宋_GB2312" w:cs="Times New Roman"/>
                <w:color w:val="000000"/>
                <w:kern w:val="0"/>
                <w:sz w:val="18"/>
                <w:szCs w:val="18"/>
                <w:highlight w:val="none"/>
              </w:rPr>
            </w:pPr>
          </w:p>
        </w:tc>
        <w:tc>
          <w:tcPr>
            <w:tcW w:w="1422" w:type="dxa"/>
            <w:vMerge w:val="restart"/>
            <w:shd w:val="clear" w:color="auto" w:fill="FFFFFF"/>
            <w:vAlign w:val="center"/>
          </w:tcPr>
          <w:p w14:paraId="39CCB081">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资金投入</w:t>
            </w:r>
          </w:p>
          <w:p w14:paraId="76AF82C8">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360" w:type="dxa"/>
            <w:shd w:val="clear" w:color="auto" w:fill="FFFFFF"/>
            <w:vAlign w:val="center"/>
          </w:tcPr>
          <w:p w14:paraId="789F845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预算编制</w:t>
            </w:r>
          </w:p>
          <w:p w14:paraId="03F9D60B">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科学性</w:t>
            </w:r>
          </w:p>
        </w:tc>
        <w:tc>
          <w:tcPr>
            <w:tcW w:w="1240" w:type="dxa"/>
            <w:shd w:val="clear" w:color="auto" w:fill="FFFFFF"/>
            <w:vAlign w:val="center"/>
          </w:tcPr>
          <w:p w14:paraId="7AAAE0B1">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项目预算编制是否经过科学论证、有明确标准，资金额度与年度目标是否相适应，用以反映和考核项目预算编制的科学性、合理性情况。</w:t>
            </w:r>
          </w:p>
        </w:tc>
        <w:tc>
          <w:tcPr>
            <w:tcW w:w="4256" w:type="dxa"/>
            <w:shd w:val="clear" w:color="auto" w:fill="FFFFFF"/>
            <w:vAlign w:val="center"/>
          </w:tcPr>
          <w:p w14:paraId="1EFC1D0C">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①预算编制是否经过科学论证；</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②预算内容与项目内容是否匹配；</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③预算额度测算依据是否充分，是否按照标准编制；</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④预算确定的项目投资额或资金量是否与工作任务相匹配。</w:t>
            </w:r>
          </w:p>
        </w:tc>
        <w:tc>
          <w:tcPr>
            <w:tcW w:w="1285" w:type="dxa"/>
            <w:shd w:val="clear" w:color="auto" w:fill="FFFFFF"/>
            <w:vAlign w:val="center"/>
          </w:tcPr>
          <w:p w14:paraId="6A907508">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615" w:type="dxa"/>
            <w:shd w:val="clear" w:color="auto" w:fill="FFFFFF"/>
            <w:vAlign w:val="center"/>
          </w:tcPr>
          <w:p w14:paraId="6E1D05C6">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078247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695" w:type="dxa"/>
            <w:vMerge w:val="continue"/>
            <w:shd w:val="clear" w:color="auto" w:fill="FFFFFF"/>
            <w:vAlign w:val="center"/>
          </w:tcPr>
          <w:p w14:paraId="2443D488">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422" w:type="dxa"/>
            <w:vMerge w:val="continue"/>
            <w:shd w:val="clear" w:color="auto" w:fill="FFFFFF"/>
            <w:vAlign w:val="center"/>
          </w:tcPr>
          <w:p w14:paraId="2E224F3F">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360" w:type="dxa"/>
            <w:shd w:val="clear" w:color="auto" w:fill="FFFFFF"/>
            <w:vAlign w:val="center"/>
          </w:tcPr>
          <w:p w14:paraId="0B8C187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资金分配</w:t>
            </w:r>
          </w:p>
          <w:p w14:paraId="527D6E45">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240" w:type="dxa"/>
            <w:shd w:val="clear" w:color="auto" w:fill="FFFFFF"/>
            <w:vAlign w:val="center"/>
          </w:tcPr>
          <w:p w14:paraId="0DC6B2B0">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项目预算资金分配是否有测算依据，与补助单位或地方实际是否相适应，用以反映和考核项目预算资金分配的科学性、合理性情况。</w:t>
            </w:r>
          </w:p>
        </w:tc>
        <w:tc>
          <w:tcPr>
            <w:tcW w:w="4256" w:type="dxa"/>
            <w:shd w:val="clear" w:color="auto" w:fill="FFFFFF"/>
            <w:vAlign w:val="center"/>
          </w:tcPr>
          <w:p w14:paraId="43BFD968">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①预算资金分配依据是否充分；</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②资金分配额度是否合理，与项目单位或地方实际是否相适应。</w:t>
            </w:r>
          </w:p>
        </w:tc>
        <w:tc>
          <w:tcPr>
            <w:tcW w:w="1285" w:type="dxa"/>
            <w:shd w:val="clear" w:color="auto" w:fill="FFFFFF"/>
            <w:vAlign w:val="center"/>
          </w:tcPr>
          <w:p w14:paraId="72B0340E">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615" w:type="dxa"/>
            <w:shd w:val="clear" w:color="auto" w:fill="FFFFFF"/>
            <w:vAlign w:val="center"/>
          </w:tcPr>
          <w:p w14:paraId="4ED51FE6">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6B0C00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695" w:type="dxa"/>
            <w:vMerge w:val="restart"/>
            <w:shd w:val="clear" w:color="auto" w:fill="FFFFFF"/>
            <w:vAlign w:val="center"/>
          </w:tcPr>
          <w:p w14:paraId="6B8DDB0E">
            <w:pPr>
              <w:spacing w:line="0" w:lineRule="atLeast"/>
              <w:jc w:val="center"/>
              <w:rPr>
                <w:rFonts w:hint="default" w:ascii="Times New Roman" w:hAnsi="Times New Roman" w:eastAsia="仿宋_GB2312" w:cs="Times New Roman"/>
                <w:color w:val="000000"/>
                <w:kern w:val="0"/>
                <w:sz w:val="18"/>
                <w:szCs w:val="18"/>
                <w:highlight w:val="none"/>
              </w:rPr>
            </w:pPr>
          </w:p>
          <w:p w14:paraId="2732044E">
            <w:pPr>
              <w:spacing w:line="0" w:lineRule="atLeast"/>
              <w:jc w:val="center"/>
              <w:rPr>
                <w:rFonts w:hint="default" w:ascii="Times New Roman" w:hAnsi="Times New Roman" w:eastAsia="仿宋_GB2312" w:cs="Times New Roman"/>
                <w:color w:val="000000"/>
                <w:kern w:val="0"/>
                <w:sz w:val="18"/>
                <w:szCs w:val="18"/>
                <w:highlight w:val="none"/>
              </w:rPr>
            </w:pPr>
          </w:p>
          <w:p w14:paraId="0F6F4F5C">
            <w:pPr>
              <w:spacing w:line="0" w:lineRule="atLeast"/>
              <w:jc w:val="center"/>
              <w:rPr>
                <w:rFonts w:hint="default" w:ascii="Times New Roman" w:hAnsi="Times New Roman" w:eastAsia="仿宋_GB2312" w:cs="Times New Roman"/>
                <w:color w:val="000000"/>
                <w:kern w:val="0"/>
                <w:sz w:val="18"/>
                <w:szCs w:val="18"/>
                <w:highlight w:val="none"/>
              </w:rPr>
            </w:pPr>
          </w:p>
          <w:p w14:paraId="78E78E31">
            <w:pPr>
              <w:spacing w:line="0" w:lineRule="atLeast"/>
              <w:jc w:val="center"/>
              <w:rPr>
                <w:rFonts w:hint="default" w:ascii="Times New Roman" w:hAnsi="Times New Roman" w:eastAsia="仿宋_GB2312" w:cs="Times New Roman"/>
                <w:color w:val="000000"/>
                <w:kern w:val="0"/>
                <w:sz w:val="18"/>
                <w:szCs w:val="18"/>
                <w:highlight w:val="none"/>
              </w:rPr>
            </w:pPr>
          </w:p>
          <w:p w14:paraId="5BF34BA4">
            <w:pPr>
              <w:spacing w:line="0" w:lineRule="atLeast"/>
              <w:jc w:val="center"/>
              <w:rPr>
                <w:rFonts w:hint="default" w:ascii="Times New Roman" w:hAnsi="Times New Roman" w:eastAsia="仿宋_GB2312" w:cs="Times New Roman"/>
                <w:color w:val="000000"/>
                <w:kern w:val="0"/>
                <w:sz w:val="18"/>
                <w:szCs w:val="18"/>
                <w:highlight w:val="none"/>
              </w:rPr>
            </w:pPr>
          </w:p>
          <w:p w14:paraId="05CB8399">
            <w:pPr>
              <w:spacing w:line="0" w:lineRule="atLeast"/>
              <w:jc w:val="center"/>
              <w:rPr>
                <w:rFonts w:hint="default" w:ascii="Times New Roman" w:hAnsi="Times New Roman" w:eastAsia="仿宋_GB2312" w:cs="Times New Roman"/>
                <w:color w:val="000000"/>
                <w:kern w:val="0"/>
                <w:sz w:val="18"/>
                <w:szCs w:val="18"/>
                <w:highlight w:val="none"/>
              </w:rPr>
            </w:pPr>
          </w:p>
          <w:p w14:paraId="31FC8E33">
            <w:pPr>
              <w:spacing w:line="0" w:lineRule="atLeast"/>
              <w:jc w:val="center"/>
              <w:rPr>
                <w:rFonts w:hint="default" w:ascii="Times New Roman" w:hAnsi="Times New Roman" w:eastAsia="仿宋_GB2312" w:cs="Times New Roman"/>
                <w:color w:val="000000"/>
                <w:kern w:val="0"/>
                <w:sz w:val="18"/>
                <w:szCs w:val="18"/>
                <w:highlight w:val="none"/>
              </w:rPr>
            </w:pPr>
          </w:p>
          <w:p w14:paraId="55AB3C7F">
            <w:pPr>
              <w:spacing w:line="0" w:lineRule="atLeast"/>
              <w:jc w:val="center"/>
              <w:rPr>
                <w:rFonts w:hint="default" w:ascii="Times New Roman" w:hAnsi="Times New Roman" w:eastAsia="仿宋_GB2312" w:cs="Times New Roman"/>
                <w:color w:val="000000"/>
                <w:kern w:val="0"/>
                <w:sz w:val="18"/>
                <w:szCs w:val="18"/>
                <w:highlight w:val="none"/>
              </w:rPr>
            </w:pPr>
          </w:p>
          <w:p w14:paraId="6A12843F">
            <w:pPr>
              <w:spacing w:line="0" w:lineRule="atLeast"/>
              <w:jc w:val="center"/>
              <w:rPr>
                <w:rFonts w:hint="default" w:ascii="Times New Roman" w:hAnsi="Times New Roman" w:eastAsia="仿宋_GB2312" w:cs="Times New Roman"/>
                <w:color w:val="000000"/>
                <w:kern w:val="0"/>
                <w:sz w:val="18"/>
                <w:szCs w:val="18"/>
                <w:highlight w:val="none"/>
              </w:rPr>
            </w:pPr>
          </w:p>
          <w:p w14:paraId="62459EF6">
            <w:pPr>
              <w:spacing w:line="0" w:lineRule="atLeast"/>
              <w:jc w:val="center"/>
              <w:rPr>
                <w:rFonts w:hint="default" w:ascii="Times New Roman" w:hAnsi="Times New Roman" w:eastAsia="仿宋_GB2312" w:cs="Times New Roman"/>
                <w:color w:val="000000"/>
                <w:kern w:val="0"/>
                <w:sz w:val="18"/>
                <w:szCs w:val="18"/>
                <w:highlight w:val="none"/>
              </w:rPr>
            </w:pPr>
          </w:p>
          <w:p w14:paraId="3B82ECB5">
            <w:pPr>
              <w:spacing w:line="0" w:lineRule="atLeast"/>
              <w:jc w:val="center"/>
              <w:rPr>
                <w:rFonts w:hint="default" w:ascii="Times New Roman" w:hAnsi="Times New Roman" w:eastAsia="仿宋_GB2312" w:cs="Times New Roman"/>
                <w:color w:val="000000"/>
                <w:kern w:val="0"/>
                <w:sz w:val="18"/>
                <w:szCs w:val="18"/>
                <w:highlight w:val="none"/>
              </w:rPr>
            </w:pPr>
          </w:p>
          <w:p w14:paraId="3B9AC826">
            <w:pPr>
              <w:spacing w:line="0" w:lineRule="atLeast"/>
              <w:jc w:val="center"/>
              <w:rPr>
                <w:rFonts w:hint="default" w:ascii="Times New Roman" w:hAnsi="Times New Roman" w:eastAsia="仿宋_GB2312" w:cs="Times New Roman"/>
                <w:color w:val="000000"/>
                <w:kern w:val="0"/>
                <w:sz w:val="18"/>
                <w:szCs w:val="18"/>
                <w:highlight w:val="none"/>
              </w:rPr>
            </w:pPr>
          </w:p>
          <w:p w14:paraId="11C0E1DE">
            <w:pPr>
              <w:spacing w:line="0" w:lineRule="atLeast"/>
              <w:jc w:val="center"/>
              <w:rPr>
                <w:rFonts w:hint="default" w:ascii="Times New Roman" w:hAnsi="Times New Roman" w:eastAsia="仿宋_GB2312" w:cs="Times New Roman"/>
                <w:color w:val="000000"/>
                <w:kern w:val="0"/>
                <w:sz w:val="18"/>
                <w:szCs w:val="18"/>
                <w:highlight w:val="none"/>
              </w:rPr>
            </w:pPr>
          </w:p>
          <w:p w14:paraId="4BB32657">
            <w:pPr>
              <w:spacing w:line="0" w:lineRule="atLeast"/>
              <w:jc w:val="center"/>
              <w:rPr>
                <w:rFonts w:hint="default" w:ascii="Times New Roman" w:hAnsi="Times New Roman" w:eastAsia="仿宋_GB2312" w:cs="Times New Roman"/>
                <w:color w:val="000000"/>
                <w:kern w:val="0"/>
                <w:sz w:val="18"/>
                <w:szCs w:val="18"/>
                <w:highlight w:val="none"/>
              </w:rPr>
            </w:pPr>
          </w:p>
          <w:p w14:paraId="390B9311">
            <w:pPr>
              <w:spacing w:line="0" w:lineRule="atLeast"/>
              <w:jc w:val="center"/>
              <w:rPr>
                <w:rFonts w:hint="default" w:ascii="Times New Roman" w:hAnsi="Times New Roman" w:eastAsia="仿宋_GB2312" w:cs="Times New Roman"/>
                <w:color w:val="000000"/>
                <w:kern w:val="0"/>
                <w:sz w:val="18"/>
                <w:szCs w:val="18"/>
                <w:highlight w:val="none"/>
              </w:rPr>
            </w:pPr>
          </w:p>
          <w:p w14:paraId="5FD9DE2C">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过程</w:t>
            </w:r>
          </w:p>
          <w:p w14:paraId="6648780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422" w:type="dxa"/>
            <w:vMerge w:val="restart"/>
            <w:shd w:val="clear" w:color="auto" w:fill="FFFFFF"/>
            <w:vAlign w:val="center"/>
          </w:tcPr>
          <w:p w14:paraId="2F394E4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360" w:type="dxa"/>
            <w:shd w:val="clear" w:color="auto" w:fill="FFFFFF"/>
            <w:vAlign w:val="center"/>
          </w:tcPr>
          <w:p w14:paraId="5321DDE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w:t>
            </w:r>
          </w:p>
        </w:tc>
        <w:tc>
          <w:tcPr>
            <w:tcW w:w="1240" w:type="dxa"/>
            <w:shd w:val="clear" w:color="000000" w:fill="FFFFFF"/>
            <w:vAlign w:val="center"/>
          </w:tcPr>
          <w:p w14:paraId="2370F6A1">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实际到位资金与预算资金的比率，用以反映和考核资金落实情况对项目实施的总体保障程度。</w:t>
            </w:r>
          </w:p>
        </w:tc>
        <w:tc>
          <w:tcPr>
            <w:tcW w:w="4256" w:type="dxa"/>
            <w:shd w:val="clear" w:color="000000" w:fill="FFFFFF"/>
            <w:vAlign w:val="center"/>
          </w:tcPr>
          <w:p w14:paraId="25123516">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资金到位率=（实际到位资金/预算资金）×100%。</w:t>
            </w:r>
          </w:p>
          <w:p w14:paraId="569E52EE">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实际到位资金：一定时期（本年度或项目期）内落实到具体项目的资金。</w:t>
            </w:r>
          </w:p>
          <w:p w14:paraId="75A04F75">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预算资金：一定时期（本年度或项目期）内预算安排到具体项目的资金。</w:t>
            </w:r>
          </w:p>
        </w:tc>
        <w:tc>
          <w:tcPr>
            <w:tcW w:w="1285" w:type="dxa"/>
            <w:shd w:val="clear" w:color="000000" w:fill="FFFFFF"/>
            <w:vAlign w:val="center"/>
          </w:tcPr>
          <w:p w14:paraId="60DB221E">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615" w:type="dxa"/>
            <w:shd w:val="clear" w:color="000000" w:fill="FFFFFF"/>
            <w:vAlign w:val="center"/>
          </w:tcPr>
          <w:p w14:paraId="308ABFB0">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39BFE6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695" w:type="dxa"/>
            <w:vMerge w:val="continue"/>
            <w:shd w:val="clear" w:color="auto" w:fill="FFFFFF"/>
            <w:vAlign w:val="center"/>
          </w:tcPr>
          <w:p w14:paraId="03876B71">
            <w:pPr>
              <w:spacing w:line="0" w:lineRule="atLeast"/>
              <w:jc w:val="center"/>
              <w:rPr>
                <w:rFonts w:hint="default" w:ascii="Times New Roman" w:hAnsi="Times New Roman" w:eastAsia="仿宋_GB2312" w:cs="Times New Roman"/>
                <w:color w:val="000000"/>
                <w:kern w:val="0"/>
                <w:sz w:val="18"/>
                <w:szCs w:val="18"/>
                <w:highlight w:val="none"/>
              </w:rPr>
            </w:pPr>
          </w:p>
        </w:tc>
        <w:tc>
          <w:tcPr>
            <w:tcW w:w="1422" w:type="dxa"/>
            <w:vMerge w:val="continue"/>
            <w:shd w:val="clear" w:color="auto" w:fill="FFFFFF"/>
            <w:vAlign w:val="center"/>
          </w:tcPr>
          <w:p w14:paraId="4511DA0E">
            <w:pPr>
              <w:spacing w:line="0" w:lineRule="atLeast"/>
              <w:jc w:val="center"/>
              <w:rPr>
                <w:rFonts w:hint="default" w:ascii="Times New Roman" w:hAnsi="Times New Roman" w:eastAsia="仿宋_GB2312" w:cs="Times New Roman"/>
                <w:color w:val="000000"/>
                <w:kern w:val="0"/>
                <w:sz w:val="18"/>
                <w:szCs w:val="18"/>
                <w:highlight w:val="none"/>
              </w:rPr>
            </w:pPr>
          </w:p>
        </w:tc>
        <w:tc>
          <w:tcPr>
            <w:tcW w:w="1360" w:type="dxa"/>
            <w:shd w:val="clear" w:color="auto" w:fill="FFFFFF"/>
            <w:vAlign w:val="center"/>
          </w:tcPr>
          <w:p w14:paraId="3291CCDB">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w:t>
            </w:r>
          </w:p>
        </w:tc>
        <w:tc>
          <w:tcPr>
            <w:tcW w:w="1240" w:type="dxa"/>
            <w:shd w:val="clear" w:color="auto" w:fill="FFFFFF"/>
            <w:vAlign w:val="center"/>
          </w:tcPr>
          <w:p w14:paraId="77B4CC88">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项目预算资金是否按照计划执行，用以反映或考核项目预算执行情况。</w:t>
            </w:r>
          </w:p>
        </w:tc>
        <w:tc>
          <w:tcPr>
            <w:tcW w:w="4256" w:type="dxa"/>
            <w:shd w:val="clear" w:color="auto" w:fill="FFFFFF"/>
            <w:vAlign w:val="center"/>
          </w:tcPr>
          <w:p w14:paraId="2F163CD4">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预算执行率=（实际支出资金/实际到位资金）×100%。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实际支出资金：一定时期（本年度或项目期）内项目实际拨付的资金。</w:t>
            </w:r>
          </w:p>
        </w:tc>
        <w:tc>
          <w:tcPr>
            <w:tcW w:w="1285" w:type="dxa"/>
            <w:shd w:val="clear" w:color="auto" w:fill="FFFFFF"/>
            <w:vAlign w:val="center"/>
          </w:tcPr>
          <w:p w14:paraId="78AB0477">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615" w:type="dxa"/>
            <w:shd w:val="clear" w:color="auto" w:fill="FFFFFF"/>
            <w:vAlign w:val="center"/>
          </w:tcPr>
          <w:p w14:paraId="5D802879">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3.5</w:t>
            </w:r>
          </w:p>
        </w:tc>
      </w:tr>
      <w:tr w14:paraId="321B92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695" w:type="dxa"/>
            <w:vMerge w:val="continue"/>
            <w:shd w:val="clear" w:color="auto" w:fill="FFFFFF"/>
            <w:vAlign w:val="center"/>
          </w:tcPr>
          <w:p w14:paraId="33BC0BD8">
            <w:pPr>
              <w:spacing w:line="0" w:lineRule="atLeast"/>
              <w:jc w:val="center"/>
              <w:rPr>
                <w:rFonts w:hint="default" w:ascii="Times New Roman" w:hAnsi="Times New Roman" w:eastAsia="仿宋_GB2312" w:cs="Times New Roman"/>
                <w:color w:val="000000"/>
                <w:kern w:val="0"/>
                <w:sz w:val="18"/>
                <w:szCs w:val="18"/>
                <w:highlight w:val="none"/>
              </w:rPr>
            </w:pPr>
          </w:p>
        </w:tc>
        <w:tc>
          <w:tcPr>
            <w:tcW w:w="1422" w:type="dxa"/>
            <w:shd w:val="clear" w:color="auto" w:fill="FFFFFF"/>
            <w:vAlign w:val="center"/>
          </w:tcPr>
          <w:p w14:paraId="4B307C5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360" w:type="dxa"/>
            <w:shd w:val="clear" w:color="auto" w:fill="FFFFFF"/>
            <w:vAlign w:val="center"/>
          </w:tcPr>
          <w:p w14:paraId="5D001FB8">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资金使用</w:t>
            </w:r>
          </w:p>
          <w:p w14:paraId="4A8A640D">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合规性</w:t>
            </w:r>
          </w:p>
        </w:tc>
        <w:tc>
          <w:tcPr>
            <w:tcW w:w="1240" w:type="dxa"/>
            <w:shd w:val="clear" w:color="000000" w:fill="FFFFFF"/>
            <w:vAlign w:val="center"/>
          </w:tcPr>
          <w:p w14:paraId="27AC9511">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项目资金使用是否符合相关的财务管理制度规定，用以反映和考核项目资金的规范运行情况。</w:t>
            </w:r>
          </w:p>
        </w:tc>
        <w:tc>
          <w:tcPr>
            <w:tcW w:w="4256" w:type="dxa"/>
            <w:shd w:val="clear" w:color="000000" w:fill="FFFFFF"/>
            <w:vAlign w:val="center"/>
          </w:tcPr>
          <w:p w14:paraId="44012E59">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②资金的拨付是否有完整的审批程序和手续；</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③是否符合项目预算批复或合同规定的用途；</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④是否存在截留、挤占、挪用、虚列支出等情况。</w:t>
            </w:r>
          </w:p>
        </w:tc>
        <w:tc>
          <w:tcPr>
            <w:tcW w:w="1285" w:type="dxa"/>
            <w:shd w:val="clear" w:color="000000" w:fill="FFFFFF"/>
            <w:vAlign w:val="center"/>
          </w:tcPr>
          <w:p w14:paraId="050393CC">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615" w:type="dxa"/>
            <w:shd w:val="clear" w:color="000000" w:fill="FFFFFF"/>
            <w:vAlign w:val="center"/>
          </w:tcPr>
          <w:p w14:paraId="1BF634C6">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445370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695" w:type="dxa"/>
            <w:vMerge w:val="continue"/>
            <w:shd w:val="clear" w:color="auto" w:fill="FFFFFF"/>
            <w:vAlign w:val="center"/>
          </w:tcPr>
          <w:p w14:paraId="73C3F8A0">
            <w:pPr>
              <w:spacing w:line="0" w:lineRule="atLeast"/>
              <w:jc w:val="center"/>
              <w:rPr>
                <w:rFonts w:hint="default" w:ascii="Times New Roman" w:hAnsi="Times New Roman" w:eastAsia="仿宋_GB2312" w:cs="Times New Roman"/>
                <w:color w:val="000000"/>
                <w:kern w:val="0"/>
                <w:sz w:val="18"/>
                <w:szCs w:val="18"/>
                <w:highlight w:val="none"/>
              </w:rPr>
            </w:pPr>
          </w:p>
        </w:tc>
        <w:tc>
          <w:tcPr>
            <w:tcW w:w="1422" w:type="dxa"/>
            <w:vMerge w:val="restart"/>
            <w:shd w:val="clear" w:color="auto" w:fill="FFFFFF"/>
            <w:vAlign w:val="center"/>
          </w:tcPr>
          <w:p w14:paraId="7825A02B">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组织实施</w:t>
            </w:r>
          </w:p>
          <w:p w14:paraId="64B4A808">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360" w:type="dxa"/>
            <w:shd w:val="clear" w:color="auto" w:fill="FFFFFF"/>
            <w:vAlign w:val="center"/>
          </w:tcPr>
          <w:p w14:paraId="7B87ED2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管理制度</w:t>
            </w:r>
          </w:p>
          <w:p w14:paraId="5D14E955">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健全性</w:t>
            </w:r>
          </w:p>
        </w:tc>
        <w:tc>
          <w:tcPr>
            <w:tcW w:w="1240" w:type="dxa"/>
            <w:shd w:val="clear" w:color="000000" w:fill="FFFFFF"/>
            <w:vAlign w:val="center"/>
          </w:tcPr>
          <w:p w14:paraId="059CF1AD">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项目实施单位的财务和业务管理制度是否健全，用以反映和考核财务和业务管理制度对项目顺利实施的保障情况。</w:t>
            </w:r>
          </w:p>
        </w:tc>
        <w:tc>
          <w:tcPr>
            <w:tcW w:w="4256" w:type="dxa"/>
            <w:shd w:val="clear" w:color="000000" w:fill="FFFFFF"/>
            <w:vAlign w:val="center"/>
          </w:tcPr>
          <w:p w14:paraId="4638A6D5">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①是否已制定或具有相应的财务和业务管理制度；</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②财务和业务管理制度是否合法、合规、完整。</w:t>
            </w:r>
          </w:p>
        </w:tc>
        <w:tc>
          <w:tcPr>
            <w:tcW w:w="1285" w:type="dxa"/>
            <w:shd w:val="clear" w:color="000000" w:fill="FFFFFF"/>
            <w:vAlign w:val="center"/>
          </w:tcPr>
          <w:p w14:paraId="3E26A338">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615" w:type="dxa"/>
            <w:shd w:val="clear" w:color="000000" w:fill="FFFFFF"/>
            <w:vAlign w:val="center"/>
          </w:tcPr>
          <w:p w14:paraId="585FDD55">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06B753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695" w:type="dxa"/>
            <w:vMerge w:val="continue"/>
            <w:shd w:val="clear" w:color="auto" w:fill="FFFFFF"/>
            <w:vAlign w:val="center"/>
          </w:tcPr>
          <w:p w14:paraId="56AD84E1">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422" w:type="dxa"/>
            <w:vMerge w:val="continue"/>
            <w:shd w:val="clear" w:color="auto" w:fill="FFFFFF"/>
            <w:vAlign w:val="center"/>
          </w:tcPr>
          <w:p w14:paraId="4466931B">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360" w:type="dxa"/>
            <w:shd w:val="clear" w:color="auto" w:fill="FFFFFF"/>
            <w:vAlign w:val="center"/>
          </w:tcPr>
          <w:p w14:paraId="2BF869AD">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制度执行</w:t>
            </w:r>
          </w:p>
          <w:p w14:paraId="7566673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有效性</w:t>
            </w:r>
          </w:p>
        </w:tc>
        <w:tc>
          <w:tcPr>
            <w:tcW w:w="1240" w:type="dxa"/>
            <w:shd w:val="clear" w:color="000000" w:fill="FFFFFF"/>
            <w:vAlign w:val="center"/>
          </w:tcPr>
          <w:p w14:paraId="467F96B8">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项目实施是否符合相关管理规定，用以反映和考核相关管理制度的有效执行情况。</w:t>
            </w:r>
          </w:p>
        </w:tc>
        <w:tc>
          <w:tcPr>
            <w:tcW w:w="4256" w:type="dxa"/>
            <w:shd w:val="clear" w:color="000000" w:fill="FFFFFF"/>
            <w:vAlign w:val="center"/>
          </w:tcPr>
          <w:p w14:paraId="59B59E83">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①是否遵守相关法律法规和相关管理规定；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②项目调整及支出调整手续是否完备；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③项目合同书、验收报告、技术鉴定等资料是否齐全并及时归档；</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④项目实施的人员条件、场地设备、信息支撑等是否落实到位。</w:t>
            </w:r>
          </w:p>
        </w:tc>
        <w:tc>
          <w:tcPr>
            <w:tcW w:w="1285" w:type="dxa"/>
            <w:shd w:val="clear" w:color="000000" w:fill="FFFFFF"/>
            <w:vAlign w:val="center"/>
          </w:tcPr>
          <w:p w14:paraId="7E0BE62D">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615" w:type="dxa"/>
            <w:shd w:val="clear" w:color="000000" w:fill="FFFFFF"/>
            <w:vAlign w:val="center"/>
          </w:tcPr>
          <w:p w14:paraId="79165932">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14362A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1695" w:type="dxa"/>
            <w:vMerge w:val="restart"/>
            <w:shd w:val="clear" w:color="auto" w:fill="FFFFFF"/>
            <w:vAlign w:val="center"/>
          </w:tcPr>
          <w:p w14:paraId="0A08051B">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w:t>
            </w:r>
          </w:p>
        </w:tc>
        <w:tc>
          <w:tcPr>
            <w:tcW w:w="1422" w:type="dxa"/>
            <w:shd w:val="clear" w:color="auto" w:fill="FFFFFF"/>
            <w:vAlign w:val="center"/>
          </w:tcPr>
          <w:p w14:paraId="0B17B36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产出数量</w:t>
            </w:r>
          </w:p>
        </w:tc>
        <w:tc>
          <w:tcPr>
            <w:tcW w:w="1360" w:type="dxa"/>
            <w:shd w:val="clear" w:color="auto" w:fill="FFFFFF"/>
            <w:vAlign w:val="center"/>
          </w:tcPr>
          <w:p w14:paraId="35E2167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w:t>
            </w:r>
          </w:p>
        </w:tc>
        <w:tc>
          <w:tcPr>
            <w:tcW w:w="1240" w:type="dxa"/>
            <w:shd w:val="clear" w:color="000000" w:fill="FFFFFF"/>
            <w:vAlign w:val="center"/>
          </w:tcPr>
          <w:p w14:paraId="2C6130C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项目实施的实际产出数与计划产出数的比率，用以反映和考核项目产出数量目标的实现程度。</w:t>
            </w:r>
          </w:p>
        </w:tc>
        <w:tc>
          <w:tcPr>
            <w:tcW w:w="4256" w:type="dxa"/>
            <w:shd w:val="clear" w:color="000000" w:fill="FFFFFF"/>
            <w:vAlign w:val="center"/>
          </w:tcPr>
          <w:p w14:paraId="7983ECD8">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实际完成率=（实际产出数/计划产出数）×100%。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计划产出数：项目绩效目标确定的在一定时期（本年度或项目期）内计划产出的产品或提供的服务数量。</w:t>
            </w:r>
          </w:p>
        </w:tc>
        <w:tc>
          <w:tcPr>
            <w:tcW w:w="1285" w:type="dxa"/>
            <w:shd w:val="clear" w:color="000000" w:fill="FFFFFF"/>
            <w:vAlign w:val="center"/>
          </w:tcPr>
          <w:p w14:paraId="6FA908C7">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615" w:type="dxa"/>
            <w:shd w:val="clear" w:color="000000" w:fill="FFFFFF"/>
            <w:vAlign w:val="center"/>
          </w:tcPr>
          <w:p w14:paraId="53F5A387">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437325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1695" w:type="dxa"/>
            <w:vMerge w:val="continue"/>
            <w:shd w:val="clear" w:color="auto" w:fill="FFFFFF"/>
            <w:vAlign w:val="center"/>
          </w:tcPr>
          <w:p w14:paraId="0E0E63DE">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422" w:type="dxa"/>
            <w:shd w:val="clear" w:color="auto" w:fill="FFFFFF"/>
            <w:vAlign w:val="center"/>
          </w:tcPr>
          <w:p w14:paraId="1345185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产出质量</w:t>
            </w:r>
          </w:p>
        </w:tc>
        <w:tc>
          <w:tcPr>
            <w:tcW w:w="1360" w:type="dxa"/>
            <w:shd w:val="clear" w:color="auto" w:fill="FFFFFF"/>
            <w:vAlign w:val="center"/>
          </w:tcPr>
          <w:p w14:paraId="2F76B22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w:t>
            </w:r>
          </w:p>
        </w:tc>
        <w:tc>
          <w:tcPr>
            <w:tcW w:w="1240" w:type="dxa"/>
            <w:shd w:val="clear" w:color="000000" w:fill="FFFFFF"/>
            <w:vAlign w:val="center"/>
          </w:tcPr>
          <w:p w14:paraId="5664B51C">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项目完成的质量达标产出数与实际产出数的比率，用以反映和考核项目产出质量目标的实现程度。</w:t>
            </w:r>
          </w:p>
        </w:tc>
        <w:tc>
          <w:tcPr>
            <w:tcW w:w="4256" w:type="dxa"/>
            <w:shd w:val="clear" w:color="000000" w:fill="FFFFFF"/>
            <w:vAlign w:val="center"/>
          </w:tcPr>
          <w:p w14:paraId="0B2788BA">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质量达标率=（质量达标产出数/实际产出数）×100%。</w:t>
            </w:r>
          </w:p>
          <w:p w14:paraId="00776F75">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285" w:type="dxa"/>
            <w:shd w:val="clear" w:color="000000" w:fill="FFFFFF"/>
            <w:vAlign w:val="center"/>
          </w:tcPr>
          <w:p w14:paraId="06AC7D79">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615" w:type="dxa"/>
            <w:shd w:val="clear" w:color="000000" w:fill="FFFFFF"/>
            <w:vAlign w:val="center"/>
          </w:tcPr>
          <w:p w14:paraId="3ACFA1A6">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37C676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1695" w:type="dxa"/>
            <w:vMerge w:val="continue"/>
            <w:shd w:val="clear" w:color="auto" w:fill="FFFFFF"/>
            <w:vAlign w:val="center"/>
          </w:tcPr>
          <w:p w14:paraId="7CE11F2E">
            <w:pPr>
              <w:spacing w:line="0" w:lineRule="atLeast"/>
              <w:jc w:val="center"/>
              <w:rPr>
                <w:rFonts w:hint="default" w:ascii="Times New Roman" w:hAnsi="Times New Roman" w:eastAsia="仿宋_GB2312" w:cs="Times New Roman"/>
                <w:color w:val="000000"/>
                <w:kern w:val="0"/>
                <w:sz w:val="18"/>
                <w:szCs w:val="18"/>
                <w:highlight w:val="none"/>
              </w:rPr>
            </w:pPr>
          </w:p>
        </w:tc>
        <w:tc>
          <w:tcPr>
            <w:tcW w:w="1422" w:type="dxa"/>
            <w:shd w:val="clear" w:color="auto" w:fill="FFFFFF"/>
            <w:vAlign w:val="center"/>
          </w:tcPr>
          <w:p w14:paraId="2350A67C">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产出时效</w:t>
            </w:r>
          </w:p>
        </w:tc>
        <w:tc>
          <w:tcPr>
            <w:tcW w:w="1360" w:type="dxa"/>
            <w:shd w:val="clear" w:color="auto" w:fill="FFFFFF"/>
            <w:vAlign w:val="center"/>
          </w:tcPr>
          <w:p w14:paraId="5FDC5B0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完成及时性</w:t>
            </w:r>
          </w:p>
        </w:tc>
        <w:tc>
          <w:tcPr>
            <w:tcW w:w="1240" w:type="dxa"/>
            <w:shd w:val="clear" w:color="000000" w:fill="FFFFFF"/>
            <w:vAlign w:val="center"/>
          </w:tcPr>
          <w:p w14:paraId="52B32E4A">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项目实际完成时间与计划完成时间的比较，用以反映和考核项目产出时效目标的实现程度。</w:t>
            </w:r>
          </w:p>
        </w:tc>
        <w:tc>
          <w:tcPr>
            <w:tcW w:w="4256" w:type="dxa"/>
            <w:shd w:val="clear" w:color="000000" w:fill="FFFFFF"/>
            <w:vAlign w:val="center"/>
          </w:tcPr>
          <w:p w14:paraId="37D20B15">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实际完成时间：项目实施单位完成该项目实际所耗用的时间。</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计划完成时间：按照项目实施计划或相关规定完成该项目所需的时间。</w:t>
            </w:r>
          </w:p>
        </w:tc>
        <w:tc>
          <w:tcPr>
            <w:tcW w:w="1285" w:type="dxa"/>
            <w:shd w:val="clear" w:color="000000" w:fill="FFFFFF"/>
            <w:vAlign w:val="center"/>
          </w:tcPr>
          <w:p w14:paraId="56891031">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615" w:type="dxa"/>
            <w:shd w:val="clear" w:color="000000" w:fill="FFFFFF"/>
            <w:vAlign w:val="center"/>
          </w:tcPr>
          <w:p w14:paraId="5B5CE8BB">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4CD8ED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695" w:type="dxa"/>
            <w:vMerge w:val="continue"/>
            <w:shd w:val="clear" w:color="auto" w:fill="FFFFFF"/>
            <w:vAlign w:val="center"/>
          </w:tcPr>
          <w:p w14:paraId="2B3D6C3A">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422" w:type="dxa"/>
            <w:shd w:val="clear" w:color="auto" w:fill="FFFFFF"/>
            <w:vAlign w:val="center"/>
          </w:tcPr>
          <w:p w14:paraId="0C59DE8A">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1360" w:type="dxa"/>
            <w:shd w:val="clear" w:color="auto" w:fill="FFFFFF"/>
            <w:vAlign w:val="center"/>
          </w:tcPr>
          <w:p w14:paraId="6E9FF6F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成本节约率</w:t>
            </w:r>
          </w:p>
        </w:tc>
        <w:tc>
          <w:tcPr>
            <w:tcW w:w="1240" w:type="dxa"/>
            <w:shd w:val="clear" w:color="000000" w:fill="FFFFFF"/>
            <w:vAlign w:val="center"/>
          </w:tcPr>
          <w:p w14:paraId="56B99555">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完成项目计划工作目标的实际节约成本与计划成本的比率，用以反映和考核项目的成本节约程度。</w:t>
            </w:r>
          </w:p>
        </w:tc>
        <w:tc>
          <w:tcPr>
            <w:tcW w:w="4256" w:type="dxa"/>
            <w:shd w:val="clear" w:color="000000" w:fill="FFFFFF"/>
            <w:vAlign w:val="center"/>
          </w:tcPr>
          <w:p w14:paraId="1A950CFA">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成本节约率=[（计划成本-实际成本）/计划成本]×100%。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计划成本：项目实施单位为完成工作目标计划安排的支出，一般以项目预算为参考。</w:t>
            </w:r>
          </w:p>
        </w:tc>
        <w:tc>
          <w:tcPr>
            <w:tcW w:w="1285" w:type="dxa"/>
            <w:shd w:val="clear" w:color="000000" w:fill="FFFFFF"/>
            <w:vAlign w:val="center"/>
          </w:tcPr>
          <w:p w14:paraId="13891E52">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615" w:type="dxa"/>
            <w:shd w:val="clear" w:color="000000" w:fill="FFFFFF"/>
            <w:vAlign w:val="center"/>
          </w:tcPr>
          <w:p w14:paraId="55EADF1E">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27AB27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695" w:type="dxa"/>
            <w:vMerge w:val="restart"/>
            <w:shd w:val="clear" w:color="auto" w:fill="FFFFFF"/>
            <w:vAlign w:val="center"/>
          </w:tcPr>
          <w:p w14:paraId="0325E09D">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效益　</w:t>
            </w:r>
          </w:p>
        </w:tc>
        <w:tc>
          <w:tcPr>
            <w:tcW w:w="1422" w:type="dxa"/>
            <w:vMerge w:val="restart"/>
            <w:shd w:val="clear" w:color="auto" w:fill="FFFFFF"/>
            <w:vAlign w:val="center"/>
          </w:tcPr>
          <w:p w14:paraId="53DE8FB1">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项目效益　</w:t>
            </w:r>
          </w:p>
        </w:tc>
        <w:tc>
          <w:tcPr>
            <w:tcW w:w="1360" w:type="dxa"/>
            <w:shd w:val="clear" w:color="auto" w:fill="FFFFFF"/>
            <w:vAlign w:val="center"/>
          </w:tcPr>
          <w:p w14:paraId="7BAD72AA">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实施效益</w:t>
            </w:r>
          </w:p>
        </w:tc>
        <w:tc>
          <w:tcPr>
            <w:tcW w:w="1240" w:type="dxa"/>
            <w:shd w:val="clear" w:color="auto" w:fill="FFFFFF"/>
            <w:vAlign w:val="center"/>
          </w:tcPr>
          <w:p w14:paraId="34A0D0FF">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项目实施所产生的效益。</w:t>
            </w:r>
          </w:p>
        </w:tc>
        <w:tc>
          <w:tcPr>
            <w:tcW w:w="4256" w:type="dxa"/>
            <w:shd w:val="clear" w:color="auto" w:fill="FFFFFF"/>
            <w:vAlign w:val="center"/>
          </w:tcPr>
          <w:p w14:paraId="5547796E">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项目实施所产生的社会效益、经济效益、生态效益、可持续影响等。可根据项目实际情况有选择地设置和细化。</w:t>
            </w:r>
          </w:p>
        </w:tc>
        <w:tc>
          <w:tcPr>
            <w:tcW w:w="1285" w:type="dxa"/>
            <w:shd w:val="clear" w:color="auto" w:fill="FFFFFF"/>
            <w:vAlign w:val="center"/>
          </w:tcPr>
          <w:p w14:paraId="3CB67B35">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615" w:type="dxa"/>
            <w:shd w:val="clear" w:color="auto" w:fill="FFFFFF"/>
            <w:vAlign w:val="center"/>
          </w:tcPr>
          <w:p w14:paraId="3B694782">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5598F8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695" w:type="dxa"/>
            <w:vMerge w:val="continue"/>
            <w:shd w:val="clear" w:color="auto" w:fill="FFFFFF"/>
            <w:vAlign w:val="center"/>
          </w:tcPr>
          <w:p w14:paraId="5DD04A18">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422" w:type="dxa"/>
            <w:vMerge w:val="continue"/>
            <w:shd w:val="clear" w:color="auto" w:fill="FFFFFF"/>
            <w:vAlign w:val="center"/>
          </w:tcPr>
          <w:p w14:paraId="26075366">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360" w:type="dxa"/>
            <w:shd w:val="clear" w:color="auto" w:fill="FFFFFF"/>
            <w:vAlign w:val="center"/>
          </w:tcPr>
          <w:p w14:paraId="3DA5881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满意度</w:t>
            </w:r>
          </w:p>
        </w:tc>
        <w:tc>
          <w:tcPr>
            <w:tcW w:w="1240" w:type="dxa"/>
            <w:shd w:val="clear" w:color="000000" w:fill="FFFFFF"/>
            <w:vAlign w:val="center"/>
          </w:tcPr>
          <w:p w14:paraId="5CE3A89E">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社会公众或服务对象对项目实施效果的满意程度。</w:t>
            </w:r>
          </w:p>
        </w:tc>
        <w:tc>
          <w:tcPr>
            <w:tcW w:w="4256" w:type="dxa"/>
            <w:shd w:val="clear" w:color="000000" w:fill="FFFFFF"/>
            <w:vAlign w:val="center"/>
          </w:tcPr>
          <w:p w14:paraId="5D7747AE">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社会公众或服务对象是指因该项目实施而受到影响的部门（单位）、群体或个人。一般采取社会调查的方式。</w:t>
            </w:r>
          </w:p>
        </w:tc>
        <w:tc>
          <w:tcPr>
            <w:tcW w:w="1285" w:type="dxa"/>
            <w:shd w:val="clear" w:color="000000" w:fill="FFFFFF"/>
            <w:vAlign w:val="center"/>
          </w:tcPr>
          <w:p w14:paraId="1FE69A64">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615" w:type="dxa"/>
            <w:shd w:val="clear" w:color="000000" w:fill="FFFFFF"/>
            <w:vAlign w:val="center"/>
          </w:tcPr>
          <w:p w14:paraId="33FD211C">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bl>
    <w:p w14:paraId="10CCDDDD">
      <w:pPr>
        <w:rPr>
          <w:rFonts w:hint="default" w:ascii="Times New Roman" w:hAnsi="Times New Roman" w:cs="Times New Roman"/>
          <w:highlight w:val="none"/>
        </w:rPr>
      </w:pPr>
    </w:p>
    <w:p w14:paraId="08E47A83">
      <w:pPr>
        <w:pStyle w:val="2"/>
        <w:rPr>
          <w:rFonts w:hint="default" w:ascii="Times New Roman" w:hAnsi="Times New Roman" w:cs="Times New Roman"/>
          <w:highlight w:val="none"/>
        </w:rPr>
      </w:pPr>
    </w:p>
    <w:p w14:paraId="2903E0CA">
      <w:pPr>
        <w:rPr>
          <w:rFonts w:hint="default" w:ascii="Times New Roman" w:hAnsi="Times New Roman" w:cs="Times New Roman"/>
          <w:highlight w:val="none"/>
        </w:rPr>
      </w:pPr>
    </w:p>
    <w:p w14:paraId="235012DB">
      <w:pPr>
        <w:pStyle w:val="2"/>
        <w:rPr>
          <w:rFonts w:hint="default" w:ascii="Times New Roman" w:hAnsi="Times New Roman" w:cs="Times New Roman"/>
          <w:highlight w:val="none"/>
        </w:rPr>
      </w:pPr>
    </w:p>
    <w:p w14:paraId="596FC56F">
      <w:pPr>
        <w:rPr>
          <w:rFonts w:hint="default" w:ascii="Times New Roman" w:hAnsi="Times New Roman" w:cs="Times New Roman"/>
          <w:highlight w:val="none"/>
        </w:rPr>
      </w:pPr>
    </w:p>
    <w:p w14:paraId="49BB4C39">
      <w:pPr>
        <w:pStyle w:val="2"/>
        <w:rPr>
          <w:rFonts w:hint="default" w:ascii="Times New Roman" w:hAnsi="Times New Roman" w:cs="Times New Roman"/>
          <w:highlight w:val="none"/>
        </w:rPr>
      </w:pPr>
    </w:p>
    <w:p w14:paraId="06B9F7AA">
      <w:pPr>
        <w:rPr>
          <w:rFonts w:hint="default" w:ascii="Times New Roman" w:hAnsi="Times New Roman" w:cs="Times New Roman"/>
          <w:highlight w:val="none"/>
        </w:rPr>
      </w:pPr>
    </w:p>
    <w:p w14:paraId="4BB8EC01">
      <w:pPr>
        <w:pStyle w:val="2"/>
        <w:rPr>
          <w:rFonts w:hint="default" w:ascii="Times New Roman" w:hAnsi="Times New Roman" w:cs="Times New Roman"/>
          <w:highlight w:val="none"/>
        </w:rPr>
      </w:pPr>
    </w:p>
    <w:p w14:paraId="2C3124B8">
      <w:pPr>
        <w:rPr>
          <w:rFonts w:hint="default" w:ascii="Times New Roman" w:hAnsi="Times New Roman" w:cs="Times New Roman"/>
          <w:highlight w:val="none"/>
        </w:rPr>
      </w:pPr>
    </w:p>
    <w:p w14:paraId="0ED0B9FC">
      <w:pPr>
        <w:pStyle w:val="2"/>
        <w:rPr>
          <w:rFonts w:hint="default" w:ascii="Times New Roman" w:hAnsi="Times New Roman" w:cs="Times New Roman"/>
          <w:highlight w:val="none"/>
        </w:rPr>
      </w:pPr>
    </w:p>
    <w:p w14:paraId="4250FDD3">
      <w:pPr>
        <w:rPr>
          <w:rFonts w:hint="default" w:ascii="Times New Roman" w:hAnsi="Times New Roman" w:cs="Times New Roman"/>
          <w:highlight w:val="none"/>
        </w:rPr>
      </w:pPr>
    </w:p>
    <w:p w14:paraId="022C1953">
      <w:pPr>
        <w:pStyle w:val="2"/>
        <w:rPr>
          <w:rFonts w:hint="default"/>
        </w:rPr>
      </w:pPr>
      <w:bookmarkStart w:id="3" w:name="_GoBack"/>
      <w:bookmarkEnd w:id="3"/>
    </w:p>
    <w:p w14:paraId="235694E5">
      <w:pPr>
        <w:rPr>
          <w:rFonts w:hint="default" w:ascii="Times New Roman" w:hAnsi="Times New Roman" w:cs="Times New Roman"/>
          <w:highlight w:val="none"/>
        </w:rPr>
      </w:pPr>
    </w:p>
    <w:tbl>
      <w:tblP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590"/>
        <w:gridCol w:w="590"/>
        <w:gridCol w:w="590"/>
        <w:gridCol w:w="1327"/>
        <w:gridCol w:w="941"/>
        <w:gridCol w:w="941"/>
        <w:gridCol w:w="944"/>
        <w:gridCol w:w="941"/>
        <w:gridCol w:w="941"/>
        <w:gridCol w:w="941"/>
        <w:gridCol w:w="941"/>
        <w:gridCol w:w="1131"/>
        <w:gridCol w:w="1006"/>
        <w:gridCol w:w="2350"/>
      </w:tblGrid>
      <w:tr w14:paraId="622D58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5000" w:type="pct"/>
            <w:gridSpan w:val="14"/>
            <w:tcBorders>
              <w:top w:val="nil"/>
              <w:left w:val="nil"/>
              <w:bottom w:val="nil"/>
              <w:right w:val="nil"/>
            </w:tcBorders>
            <w:shd w:val="clear"/>
            <w:vAlign w:val="center"/>
          </w:tcPr>
          <w:p w14:paraId="1BB92536">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bdr w:val="none" w:color="auto" w:sz="0" w:space="0"/>
                <w:lang w:val="en-US" w:eastAsia="zh-CN" w:bidi="ar"/>
              </w:rPr>
              <w:t>项目支出绩效自评表</w:t>
            </w:r>
          </w:p>
        </w:tc>
      </w:tr>
      <w:tr w14:paraId="1ACCCC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5000" w:type="pct"/>
            <w:gridSpan w:val="14"/>
            <w:tcBorders>
              <w:top w:val="single" w:color="000000" w:sz="4" w:space="0"/>
              <w:left w:val="single" w:color="000000" w:sz="4" w:space="0"/>
              <w:bottom w:val="single" w:color="000000" w:sz="4" w:space="0"/>
              <w:right w:val="single" w:color="000000" w:sz="4" w:space="0"/>
            </w:tcBorders>
            <w:shd w:val="clear"/>
            <w:vAlign w:val="center"/>
          </w:tcPr>
          <w:p w14:paraId="15C062A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(2024年度)</w:t>
            </w:r>
          </w:p>
        </w:tc>
      </w:tr>
      <w:tr w14:paraId="375809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6" w:type="pct"/>
            <w:gridSpan w:val="2"/>
            <w:tcBorders>
              <w:top w:val="single" w:color="000000" w:sz="4" w:space="0"/>
              <w:left w:val="single" w:color="000000" w:sz="4" w:space="0"/>
              <w:bottom w:val="single" w:color="000000" w:sz="4" w:space="0"/>
              <w:right w:val="single" w:color="000000" w:sz="4" w:space="0"/>
            </w:tcBorders>
            <w:shd w:val="clear"/>
            <w:vAlign w:val="center"/>
          </w:tcPr>
          <w:p w14:paraId="4B13F0B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项目名称</w:t>
            </w:r>
          </w:p>
        </w:tc>
        <w:tc>
          <w:tcPr>
            <w:tcW w:w="4583" w:type="pct"/>
            <w:gridSpan w:val="12"/>
            <w:tcBorders>
              <w:top w:val="single" w:color="000000" w:sz="4" w:space="0"/>
              <w:left w:val="single" w:color="000000" w:sz="4" w:space="0"/>
              <w:bottom w:val="single" w:color="000000" w:sz="4" w:space="0"/>
              <w:right w:val="single" w:color="000000" w:sz="4" w:space="0"/>
            </w:tcBorders>
            <w:shd w:val="clear"/>
            <w:vAlign w:val="center"/>
          </w:tcPr>
          <w:p w14:paraId="614942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无线电业务运维项目</w:t>
            </w:r>
          </w:p>
        </w:tc>
      </w:tr>
      <w:tr w14:paraId="57E48F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6" w:type="pct"/>
            <w:gridSpan w:val="2"/>
            <w:tcBorders>
              <w:top w:val="single" w:color="000000" w:sz="4" w:space="0"/>
              <w:left w:val="single" w:color="000000" w:sz="4" w:space="0"/>
              <w:bottom w:val="single" w:color="000000" w:sz="4" w:space="0"/>
              <w:right w:val="single" w:color="000000" w:sz="4" w:space="0"/>
            </w:tcBorders>
            <w:shd w:val="clear"/>
            <w:vAlign w:val="center"/>
          </w:tcPr>
          <w:p w14:paraId="4063F4B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主管部门</w:t>
            </w:r>
          </w:p>
        </w:tc>
        <w:tc>
          <w:tcPr>
            <w:tcW w:w="1673" w:type="pct"/>
            <w:gridSpan w:val="5"/>
            <w:tcBorders>
              <w:top w:val="single" w:color="000000" w:sz="4" w:space="0"/>
              <w:left w:val="single" w:color="000000" w:sz="4" w:space="0"/>
              <w:bottom w:val="single" w:color="000000" w:sz="4" w:space="0"/>
              <w:right w:val="single" w:color="000000" w:sz="4" w:space="0"/>
            </w:tcBorders>
            <w:shd w:val="clear"/>
            <w:vAlign w:val="center"/>
          </w:tcPr>
          <w:p w14:paraId="2B0209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新疆维吾尔自治区工业和信息化厅</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59F2A9E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实施单位</w:t>
            </w:r>
          </w:p>
        </w:tc>
        <w:tc>
          <w:tcPr>
            <w:tcW w:w="2245" w:type="pct"/>
            <w:gridSpan w:val="5"/>
            <w:tcBorders>
              <w:top w:val="single" w:color="000000" w:sz="4" w:space="0"/>
              <w:left w:val="single" w:color="000000" w:sz="4" w:space="0"/>
              <w:bottom w:val="single" w:color="000000" w:sz="4" w:space="0"/>
              <w:right w:val="single" w:color="000000" w:sz="4" w:space="0"/>
            </w:tcBorders>
            <w:shd w:val="clear"/>
            <w:vAlign w:val="center"/>
          </w:tcPr>
          <w:p w14:paraId="133DE4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伊犁哈萨克自治州无线电管理局</w:t>
            </w:r>
          </w:p>
        </w:tc>
      </w:tr>
      <w:tr w14:paraId="1F112D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6" w:type="pct"/>
            <w:gridSpan w:val="2"/>
            <w:vMerge w:val="restart"/>
            <w:tcBorders>
              <w:top w:val="single" w:color="000000" w:sz="4" w:space="0"/>
              <w:left w:val="single" w:color="000000" w:sz="4" w:space="0"/>
              <w:bottom w:val="single" w:color="000000" w:sz="4" w:space="0"/>
              <w:right w:val="single" w:color="000000" w:sz="4" w:space="0"/>
            </w:tcBorders>
            <w:shd w:val="clear"/>
            <w:vAlign w:val="center"/>
          </w:tcPr>
          <w:p w14:paraId="45C63FE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项目资金</w:t>
            </w:r>
            <w:r>
              <w:rPr>
                <w:rFonts w:hint="eastAsia" w:ascii="宋体" w:hAnsi="宋体" w:eastAsia="宋体" w:cs="宋体"/>
                <w:b/>
                <w:bCs/>
                <w:i w:val="0"/>
                <w:iCs w:val="0"/>
                <w:color w:val="000000"/>
                <w:kern w:val="0"/>
                <w:sz w:val="18"/>
                <w:szCs w:val="18"/>
                <w:u w:val="none"/>
                <w:bdr w:val="none" w:color="auto" w:sz="0" w:space="0"/>
                <w:lang w:val="en-US" w:eastAsia="zh-CN" w:bidi="ar"/>
              </w:rPr>
              <w:br w:type="textWrapping"/>
            </w:r>
            <w:r>
              <w:rPr>
                <w:rFonts w:hint="eastAsia" w:ascii="宋体" w:hAnsi="宋体" w:eastAsia="宋体" w:cs="宋体"/>
                <w:b/>
                <w:bCs/>
                <w:i w:val="0"/>
                <w:iCs w:val="0"/>
                <w:color w:val="000000"/>
                <w:kern w:val="0"/>
                <w:sz w:val="18"/>
                <w:szCs w:val="18"/>
                <w:u w:val="none"/>
                <w:bdr w:val="none" w:color="auto" w:sz="0" w:space="0"/>
                <w:lang w:val="en-US" w:eastAsia="zh-CN" w:bidi="ar"/>
              </w:rPr>
              <w:t>（万元）</w:t>
            </w:r>
          </w:p>
        </w:tc>
        <w:tc>
          <w:tcPr>
            <w:tcW w:w="675" w:type="pct"/>
            <w:gridSpan w:val="2"/>
            <w:tcBorders>
              <w:top w:val="single" w:color="000000" w:sz="4" w:space="0"/>
              <w:left w:val="single" w:color="000000" w:sz="4" w:space="0"/>
              <w:bottom w:val="single" w:color="000000" w:sz="4" w:space="0"/>
              <w:right w:val="single" w:color="000000" w:sz="4" w:space="0"/>
            </w:tcBorders>
            <w:shd w:val="clear"/>
            <w:vAlign w:val="center"/>
          </w:tcPr>
          <w:p w14:paraId="2135E813">
            <w:pPr>
              <w:jc w:val="center"/>
              <w:rPr>
                <w:rFonts w:hint="eastAsia" w:ascii="宋体" w:hAnsi="宋体" w:eastAsia="宋体" w:cs="宋体"/>
                <w:b/>
                <w:bCs/>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7A2BEE0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年初预算数</w:t>
            </w:r>
          </w:p>
        </w:tc>
        <w:tc>
          <w:tcPr>
            <w:tcW w:w="665" w:type="pct"/>
            <w:gridSpan w:val="2"/>
            <w:tcBorders>
              <w:top w:val="single" w:color="000000" w:sz="4" w:space="0"/>
              <w:left w:val="single" w:color="000000" w:sz="4" w:space="0"/>
              <w:bottom w:val="single" w:color="000000" w:sz="4" w:space="0"/>
              <w:right w:val="single" w:color="000000" w:sz="4" w:space="0"/>
            </w:tcBorders>
            <w:shd w:val="clear"/>
            <w:vAlign w:val="center"/>
          </w:tcPr>
          <w:p w14:paraId="4D8CDAE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全年预算数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319767C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全年执行数</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1C7C987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分值</w:t>
            </w:r>
          </w:p>
        </w:tc>
        <w:tc>
          <w:tcPr>
            <w:tcW w:w="754" w:type="pct"/>
            <w:gridSpan w:val="2"/>
            <w:tcBorders>
              <w:top w:val="single" w:color="000000" w:sz="4" w:space="0"/>
              <w:left w:val="single" w:color="000000" w:sz="4" w:space="0"/>
              <w:bottom w:val="single" w:color="000000" w:sz="4" w:space="0"/>
              <w:right w:val="single" w:color="000000" w:sz="4" w:space="0"/>
            </w:tcBorders>
            <w:shd w:val="clear"/>
            <w:vAlign w:val="center"/>
          </w:tcPr>
          <w:p w14:paraId="133A275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执行率</w:t>
            </w:r>
          </w:p>
        </w:tc>
        <w:tc>
          <w:tcPr>
            <w:tcW w:w="825" w:type="pct"/>
            <w:tcBorders>
              <w:top w:val="single" w:color="000000" w:sz="4" w:space="0"/>
              <w:left w:val="single" w:color="000000" w:sz="4" w:space="0"/>
              <w:bottom w:val="single" w:color="000000" w:sz="4" w:space="0"/>
              <w:right w:val="single" w:color="000000" w:sz="4" w:space="0"/>
            </w:tcBorders>
            <w:shd w:val="clear"/>
            <w:vAlign w:val="center"/>
          </w:tcPr>
          <w:p w14:paraId="7DAFF9A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得分</w:t>
            </w:r>
          </w:p>
        </w:tc>
      </w:tr>
      <w:tr w14:paraId="5AF3D9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6AAAC64F">
            <w:pPr>
              <w:jc w:val="center"/>
              <w:rPr>
                <w:rFonts w:hint="eastAsia" w:ascii="宋体" w:hAnsi="宋体" w:eastAsia="宋体" w:cs="宋体"/>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vAlign w:val="center"/>
          </w:tcPr>
          <w:p w14:paraId="49EC609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年度资金总额</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3B6261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25.80</w:t>
            </w:r>
          </w:p>
        </w:tc>
        <w:tc>
          <w:tcPr>
            <w:tcW w:w="665" w:type="pct"/>
            <w:gridSpan w:val="2"/>
            <w:tcBorders>
              <w:top w:val="single" w:color="000000" w:sz="4" w:space="0"/>
              <w:left w:val="single" w:color="000000" w:sz="4" w:space="0"/>
              <w:bottom w:val="single" w:color="000000" w:sz="4" w:space="0"/>
              <w:right w:val="single" w:color="000000" w:sz="4" w:space="0"/>
            </w:tcBorders>
            <w:shd w:val="clear"/>
            <w:vAlign w:val="center"/>
          </w:tcPr>
          <w:p w14:paraId="1C29B2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25.80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4CA652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22.60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593687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8.76</w:t>
            </w:r>
          </w:p>
        </w:tc>
        <w:tc>
          <w:tcPr>
            <w:tcW w:w="754" w:type="pct"/>
            <w:gridSpan w:val="2"/>
            <w:tcBorders>
              <w:top w:val="single" w:color="000000" w:sz="4" w:space="0"/>
              <w:left w:val="single" w:color="000000" w:sz="4" w:space="0"/>
              <w:bottom w:val="single" w:color="000000" w:sz="4" w:space="0"/>
              <w:right w:val="single" w:color="000000" w:sz="4" w:space="0"/>
            </w:tcBorders>
            <w:shd w:val="clear"/>
            <w:vAlign w:val="center"/>
          </w:tcPr>
          <w:p w14:paraId="5B32D8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87.60%</w:t>
            </w:r>
          </w:p>
        </w:tc>
        <w:tc>
          <w:tcPr>
            <w:tcW w:w="825" w:type="pct"/>
            <w:tcBorders>
              <w:top w:val="single" w:color="000000" w:sz="4" w:space="0"/>
              <w:left w:val="single" w:color="000000" w:sz="4" w:space="0"/>
              <w:bottom w:val="single" w:color="000000" w:sz="4" w:space="0"/>
              <w:right w:val="single" w:color="000000" w:sz="4" w:space="0"/>
            </w:tcBorders>
            <w:shd w:val="clear"/>
            <w:vAlign w:val="center"/>
          </w:tcPr>
          <w:p w14:paraId="7A166C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8.76</w:t>
            </w:r>
          </w:p>
        </w:tc>
      </w:tr>
      <w:tr w14:paraId="7B4E16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20445EF4">
            <w:pPr>
              <w:jc w:val="center"/>
              <w:rPr>
                <w:rFonts w:hint="eastAsia" w:ascii="宋体" w:hAnsi="宋体" w:eastAsia="宋体" w:cs="宋体"/>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vAlign w:val="center"/>
          </w:tcPr>
          <w:p w14:paraId="0BE4CDD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其中：当年财政拨款</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49249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0.00</w:t>
            </w:r>
          </w:p>
        </w:tc>
        <w:tc>
          <w:tcPr>
            <w:tcW w:w="665" w:type="pct"/>
            <w:gridSpan w:val="2"/>
            <w:tcBorders>
              <w:top w:val="single" w:color="000000" w:sz="4" w:space="0"/>
              <w:left w:val="single" w:color="000000" w:sz="4" w:space="0"/>
              <w:bottom w:val="single" w:color="000000" w:sz="4" w:space="0"/>
              <w:right w:val="single" w:color="000000" w:sz="4" w:space="0"/>
            </w:tcBorders>
            <w:shd w:val="clear"/>
            <w:vAlign w:val="center"/>
          </w:tcPr>
          <w:p w14:paraId="366384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71CDC4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7A8A40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754" w:type="pct"/>
            <w:gridSpan w:val="2"/>
            <w:tcBorders>
              <w:top w:val="single" w:color="000000" w:sz="4" w:space="0"/>
              <w:left w:val="single" w:color="000000" w:sz="4" w:space="0"/>
              <w:bottom w:val="single" w:color="000000" w:sz="4" w:space="0"/>
              <w:right w:val="single" w:color="000000" w:sz="4" w:space="0"/>
            </w:tcBorders>
            <w:shd w:val="clear"/>
            <w:vAlign w:val="center"/>
          </w:tcPr>
          <w:p w14:paraId="5ABA85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825" w:type="pct"/>
            <w:tcBorders>
              <w:top w:val="single" w:color="000000" w:sz="4" w:space="0"/>
              <w:left w:val="single" w:color="000000" w:sz="4" w:space="0"/>
              <w:bottom w:val="single" w:color="000000" w:sz="4" w:space="0"/>
              <w:right w:val="single" w:color="000000" w:sz="4" w:space="0"/>
            </w:tcBorders>
            <w:shd w:val="clear"/>
            <w:vAlign w:val="center"/>
          </w:tcPr>
          <w:p w14:paraId="631276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r>
      <w:tr w14:paraId="72FBD4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27232720">
            <w:pPr>
              <w:jc w:val="center"/>
              <w:rPr>
                <w:rFonts w:hint="eastAsia" w:ascii="宋体" w:hAnsi="宋体" w:eastAsia="宋体" w:cs="宋体"/>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vAlign w:val="center"/>
          </w:tcPr>
          <w:p w14:paraId="1B029DE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 xml:space="preserve">  其他资金</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3B9A01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25.80</w:t>
            </w:r>
          </w:p>
        </w:tc>
        <w:tc>
          <w:tcPr>
            <w:tcW w:w="665" w:type="pct"/>
            <w:gridSpan w:val="2"/>
            <w:tcBorders>
              <w:top w:val="single" w:color="000000" w:sz="4" w:space="0"/>
              <w:left w:val="single" w:color="000000" w:sz="4" w:space="0"/>
              <w:bottom w:val="single" w:color="000000" w:sz="4" w:space="0"/>
              <w:right w:val="single" w:color="000000" w:sz="4" w:space="0"/>
            </w:tcBorders>
            <w:shd w:val="clear"/>
            <w:vAlign w:val="center"/>
          </w:tcPr>
          <w:p w14:paraId="3445E6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25.80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099495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22.60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77EF4B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754" w:type="pct"/>
            <w:gridSpan w:val="2"/>
            <w:tcBorders>
              <w:top w:val="single" w:color="000000" w:sz="4" w:space="0"/>
              <w:left w:val="single" w:color="000000" w:sz="4" w:space="0"/>
              <w:bottom w:val="single" w:color="000000" w:sz="4" w:space="0"/>
              <w:right w:val="single" w:color="000000" w:sz="4" w:space="0"/>
            </w:tcBorders>
            <w:shd w:val="clear"/>
            <w:vAlign w:val="center"/>
          </w:tcPr>
          <w:p w14:paraId="2D8C1E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825" w:type="pct"/>
            <w:tcBorders>
              <w:top w:val="single" w:color="000000" w:sz="4" w:space="0"/>
              <w:left w:val="single" w:color="000000" w:sz="4" w:space="0"/>
              <w:bottom w:val="single" w:color="000000" w:sz="4" w:space="0"/>
              <w:right w:val="single" w:color="000000" w:sz="4" w:space="0"/>
            </w:tcBorders>
            <w:shd w:val="clear"/>
            <w:vAlign w:val="center"/>
          </w:tcPr>
          <w:p w14:paraId="1F63E8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r>
      <w:tr w14:paraId="201D9D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14:paraId="6D7638C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年度总体目标</w:t>
            </w:r>
          </w:p>
        </w:tc>
        <w:tc>
          <w:tcPr>
            <w:tcW w:w="1881" w:type="pct"/>
            <w:gridSpan w:val="6"/>
            <w:tcBorders>
              <w:top w:val="single" w:color="000000" w:sz="4" w:space="0"/>
              <w:left w:val="single" w:color="000000" w:sz="4" w:space="0"/>
              <w:bottom w:val="single" w:color="000000" w:sz="4" w:space="0"/>
              <w:right w:val="single" w:color="000000" w:sz="4" w:space="0"/>
            </w:tcBorders>
            <w:shd w:val="clear"/>
            <w:vAlign w:val="center"/>
          </w:tcPr>
          <w:p w14:paraId="3619EA3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预期目标</w:t>
            </w:r>
          </w:p>
        </w:tc>
        <w:tc>
          <w:tcPr>
            <w:tcW w:w="2909" w:type="pct"/>
            <w:gridSpan w:val="7"/>
            <w:tcBorders>
              <w:top w:val="single" w:color="000000" w:sz="4" w:space="0"/>
              <w:left w:val="single" w:color="000000" w:sz="4" w:space="0"/>
              <w:bottom w:val="single" w:color="000000" w:sz="4" w:space="0"/>
              <w:right w:val="single" w:color="000000" w:sz="4" w:space="0"/>
            </w:tcBorders>
            <w:shd w:val="clear"/>
            <w:vAlign w:val="center"/>
          </w:tcPr>
          <w:p w14:paraId="3583A7E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实际完成情况</w:t>
            </w:r>
          </w:p>
        </w:tc>
      </w:tr>
      <w:tr w14:paraId="7BB460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CF5876E">
            <w:pPr>
              <w:jc w:val="center"/>
              <w:rPr>
                <w:rFonts w:hint="eastAsia" w:ascii="宋体" w:hAnsi="宋体" w:eastAsia="宋体" w:cs="宋体"/>
                <w:b/>
                <w:bCs/>
                <w:i w:val="0"/>
                <w:iCs w:val="0"/>
                <w:color w:val="000000"/>
                <w:sz w:val="18"/>
                <w:szCs w:val="18"/>
                <w:u w:val="none"/>
              </w:rPr>
            </w:pPr>
          </w:p>
        </w:tc>
        <w:tc>
          <w:tcPr>
            <w:tcW w:w="1881" w:type="pct"/>
            <w:gridSpan w:val="6"/>
            <w:tcBorders>
              <w:top w:val="single" w:color="000000" w:sz="4" w:space="0"/>
              <w:left w:val="single" w:color="000000" w:sz="4" w:space="0"/>
              <w:bottom w:val="single" w:color="000000" w:sz="4" w:space="0"/>
              <w:right w:val="single" w:color="000000" w:sz="4" w:space="0"/>
            </w:tcBorders>
            <w:shd w:val="clear"/>
            <w:vAlign w:val="center"/>
          </w:tcPr>
          <w:p w14:paraId="731BB2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一、购置一台高性能手持式频谱监测分析仪，有效提升5G信号干扰监测及ISM全波段信号分析能力，可以为复杂电磁环境提供可靠的无线电监测、信号测量分析等功能。有效的完善和扩充了无线电管理系统装备，是无线电管理工作适应新技术、新形势的必要技术手段。建成后将提升无线电监测能力，可更好地维护空中电波秩序，对经济建设、社会发展、人民生活都具有重要的意义。二、经费严格按要求和规定管理使用，并将支出控制在预算范围内。</w:t>
            </w:r>
          </w:p>
        </w:tc>
        <w:tc>
          <w:tcPr>
            <w:tcW w:w="2909" w:type="pct"/>
            <w:gridSpan w:val="7"/>
            <w:tcBorders>
              <w:top w:val="single" w:color="000000" w:sz="4" w:space="0"/>
              <w:left w:val="single" w:color="000000" w:sz="4" w:space="0"/>
              <w:bottom w:val="single" w:color="000000" w:sz="4" w:space="0"/>
              <w:right w:val="single" w:color="000000" w:sz="4" w:space="0"/>
            </w:tcBorders>
            <w:shd w:val="clear"/>
            <w:vAlign w:val="center"/>
          </w:tcPr>
          <w:p w14:paraId="5E624E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完成购置一台高性能手持式频谱监测分析仪，有效提升5G信号干扰监测及ISM全波段信号分析能力，可以为复杂电磁环境提供可靠的无线电监测、信号测量分析等功能。达到有效的完善和扩充了无线电管理系统装备，是无线电管理工作适应新技术、新形势的必要技术手段。</w:t>
            </w:r>
          </w:p>
        </w:tc>
      </w:tr>
      <w:tr w14:paraId="221CA9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14:paraId="71801151">
            <w:pPr>
              <w:jc w:val="center"/>
              <w:rPr>
                <w:rFonts w:hint="eastAsia" w:ascii="宋体" w:hAnsi="宋体" w:eastAsia="宋体" w:cs="宋体"/>
                <w:i w:val="0"/>
                <w:iCs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14:paraId="25C7021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一级指标</w:t>
            </w: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14:paraId="2725530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二级指标</w:t>
            </w:r>
          </w:p>
        </w:tc>
        <w:tc>
          <w:tcPr>
            <w:tcW w:w="467" w:type="pct"/>
            <w:vMerge w:val="restart"/>
            <w:tcBorders>
              <w:top w:val="single" w:color="000000" w:sz="4" w:space="0"/>
              <w:left w:val="single" w:color="000000" w:sz="4" w:space="0"/>
              <w:bottom w:val="single" w:color="000000" w:sz="4" w:space="0"/>
              <w:right w:val="single" w:color="000000" w:sz="4" w:space="0"/>
            </w:tcBorders>
            <w:shd w:val="clear"/>
            <w:vAlign w:val="center"/>
          </w:tcPr>
          <w:p w14:paraId="39062F5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三级指标</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14:paraId="225068B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权重</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14:paraId="1375965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目标值</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14:paraId="05A9F1D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业绩值</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14:paraId="6F7B8B1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完成率</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14:paraId="1D1762F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指标得分</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14:paraId="2D4B032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指标值设定依据</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14:paraId="1820367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上年完成情况</w:t>
            </w:r>
          </w:p>
        </w:tc>
        <w:tc>
          <w:tcPr>
            <w:tcW w:w="399" w:type="pct"/>
            <w:vMerge w:val="restart"/>
            <w:tcBorders>
              <w:top w:val="single" w:color="000000" w:sz="4" w:space="0"/>
              <w:left w:val="single" w:color="000000" w:sz="4" w:space="0"/>
              <w:bottom w:val="single" w:color="000000" w:sz="4" w:space="0"/>
              <w:right w:val="single" w:color="000000" w:sz="4" w:space="0"/>
            </w:tcBorders>
            <w:shd w:val="clear"/>
            <w:vAlign w:val="center"/>
          </w:tcPr>
          <w:p w14:paraId="3D5BC30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赋分规则</w:t>
            </w:r>
          </w:p>
        </w:tc>
        <w:tc>
          <w:tcPr>
            <w:tcW w:w="354" w:type="pct"/>
            <w:vMerge w:val="restart"/>
            <w:tcBorders>
              <w:top w:val="single" w:color="000000" w:sz="4" w:space="0"/>
              <w:left w:val="single" w:color="000000" w:sz="4" w:space="0"/>
              <w:bottom w:val="single" w:color="000000" w:sz="4" w:space="0"/>
              <w:right w:val="single" w:color="000000" w:sz="4" w:space="0"/>
            </w:tcBorders>
            <w:shd w:val="clear"/>
            <w:vAlign w:val="center"/>
          </w:tcPr>
          <w:p w14:paraId="081AEFF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佐证资料</w:t>
            </w:r>
          </w:p>
        </w:tc>
        <w:tc>
          <w:tcPr>
            <w:tcW w:w="825" w:type="pct"/>
            <w:vMerge w:val="restart"/>
            <w:tcBorders>
              <w:top w:val="single" w:color="000000" w:sz="4" w:space="0"/>
              <w:left w:val="single" w:color="000000" w:sz="4" w:space="0"/>
              <w:bottom w:val="single" w:color="000000" w:sz="4" w:space="0"/>
              <w:right w:val="single" w:color="000000" w:sz="4" w:space="0"/>
            </w:tcBorders>
            <w:shd w:val="clear"/>
            <w:vAlign w:val="center"/>
          </w:tcPr>
          <w:p w14:paraId="4A508CE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偏差原因分析及改进措施</w:t>
            </w:r>
          </w:p>
        </w:tc>
      </w:tr>
      <w:tr w14:paraId="0B8CFB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223DEB0">
            <w:pPr>
              <w:jc w:val="center"/>
              <w:rPr>
                <w:rFonts w:hint="eastAsia" w:ascii="宋体" w:hAnsi="宋体" w:eastAsia="宋体" w:cs="宋体"/>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9D5363B">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4C9D869">
            <w:pPr>
              <w:jc w:val="center"/>
              <w:rPr>
                <w:rFonts w:hint="eastAsia" w:ascii="宋体" w:hAnsi="宋体" w:eastAsia="宋体" w:cs="宋体"/>
                <w:b/>
                <w:bCs/>
                <w:i w:val="0"/>
                <w:iCs w:val="0"/>
                <w:color w:val="000000"/>
                <w:sz w:val="18"/>
                <w:szCs w:val="18"/>
                <w:u w:val="none"/>
              </w:rPr>
            </w:pPr>
          </w:p>
        </w:tc>
        <w:tc>
          <w:tcPr>
            <w:tcW w:w="467"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018AB97">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D5856A4">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A5A00B4">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33DDB12">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ECA6A92">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70C1707">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A7830C3">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5F9F776">
            <w:pPr>
              <w:jc w:val="center"/>
              <w:rPr>
                <w:rFonts w:hint="eastAsia" w:ascii="宋体" w:hAnsi="宋体" w:eastAsia="宋体" w:cs="宋体"/>
                <w:b/>
                <w:bCs/>
                <w:i w:val="0"/>
                <w:iCs w:val="0"/>
                <w:color w:val="000000"/>
                <w:sz w:val="18"/>
                <w:szCs w:val="18"/>
                <w:u w:val="none"/>
              </w:rPr>
            </w:pPr>
          </w:p>
        </w:tc>
        <w:tc>
          <w:tcPr>
            <w:tcW w:w="39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3258AA4">
            <w:pPr>
              <w:jc w:val="center"/>
              <w:rPr>
                <w:rFonts w:hint="eastAsia" w:ascii="宋体" w:hAnsi="宋体" w:eastAsia="宋体" w:cs="宋体"/>
                <w:b/>
                <w:bCs/>
                <w:i w:val="0"/>
                <w:iCs w:val="0"/>
                <w:color w:val="000000"/>
                <w:sz w:val="18"/>
                <w:szCs w:val="18"/>
                <w:u w:val="none"/>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FBC65FD">
            <w:pPr>
              <w:jc w:val="center"/>
              <w:rPr>
                <w:rFonts w:hint="eastAsia" w:ascii="宋体" w:hAnsi="宋体" w:eastAsia="宋体" w:cs="宋体"/>
                <w:b/>
                <w:bCs/>
                <w:i w:val="0"/>
                <w:iCs w:val="0"/>
                <w:color w:val="000000"/>
                <w:sz w:val="18"/>
                <w:szCs w:val="18"/>
                <w:u w:val="none"/>
              </w:rPr>
            </w:pPr>
          </w:p>
        </w:tc>
        <w:tc>
          <w:tcPr>
            <w:tcW w:w="82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CB56AD7">
            <w:pPr>
              <w:jc w:val="center"/>
              <w:rPr>
                <w:rFonts w:hint="eastAsia" w:ascii="宋体" w:hAnsi="宋体" w:eastAsia="宋体" w:cs="宋体"/>
                <w:b/>
                <w:bCs/>
                <w:i w:val="0"/>
                <w:iCs w:val="0"/>
                <w:color w:val="000000"/>
                <w:sz w:val="18"/>
                <w:szCs w:val="18"/>
                <w:u w:val="none"/>
              </w:rPr>
            </w:pPr>
          </w:p>
        </w:tc>
      </w:tr>
      <w:tr w14:paraId="781A66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14:paraId="412E4BE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年度绩效指标完成情况</w:t>
            </w: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14:paraId="2E0B2F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产出指标</w:t>
            </w: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5D90D0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1C9010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采购设备数量</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A5823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FB8BB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=1台</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61A1C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=1台</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236848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29131D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363FC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040796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7F9491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54D8BB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825" w:type="pct"/>
            <w:tcBorders>
              <w:top w:val="single" w:color="000000" w:sz="4" w:space="0"/>
              <w:left w:val="single" w:color="000000" w:sz="4" w:space="0"/>
              <w:bottom w:val="single" w:color="000000" w:sz="4" w:space="0"/>
              <w:right w:val="single" w:color="000000" w:sz="4" w:space="0"/>
            </w:tcBorders>
            <w:shd w:val="clear"/>
            <w:vAlign w:val="center"/>
          </w:tcPr>
          <w:p w14:paraId="1EDB9901">
            <w:pPr>
              <w:jc w:val="center"/>
              <w:rPr>
                <w:rFonts w:hint="eastAsia" w:ascii="宋体" w:hAnsi="宋体" w:eastAsia="宋体" w:cs="宋体"/>
                <w:i w:val="0"/>
                <w:iCs w:val="0"/>
                <w:color w:val="000000"/>
                <w:sz w:val="18"/>
                <w:szCs w:val="18"/>
                <w:u w:val="none"/>
              </w:rPr>
            </w:pPr>
          </w:p>
        </w:tc>
      </w:tr>
      <w:tr w14:paraId="61E5E1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FB777DB">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2C8E9C7">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6C20C0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质量指标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63E8B4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设备验收合格率</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0439CC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271479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7F903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36153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2B13BC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E0D20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行业标准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35CA16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6061B9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447A3D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825" w:type="pct"/>
            <w:tcBorders>
              <w:top w:val="single" w:color="000000" w:sz="4" w:space="0"/>
              <w:left w:val="single" w:color="000000" w:sz="4" w:space="0"/>
              <w:bottom w:val="single" w:color="000000" w:sz="4" w:space="0"/>
              <w:right w:val="single" w:color="000000" w:sz="4" w:space="0"/>
            </w:tcBorders>
            <w:shd w:val="clear"/>
            <w:vAlign w:val="center"/>
          </w:tcPr>
          <w:p w14:paraId="77A4A278">
            <w:pPr>
              <w:jc w:val="center"/>
              <w:rPr>
                <w:rFonts w:hint="eastAsia" w:ascii="宋体" w:hAnsi="宋体" w:eastAsia="宋体" w:cs="宋体"/>
                <w:i w:val="0"/>
                <w:iCs w:val="0"/>
                <w:color w:val="000000"/>
                <w:sz w:val="18"/>
                <w:szCs w:val="18"/>
                <w:u w:val="none"/>
              </w:rPr>
            </w:pPr>
          </w:p>
        </w:tc>
      </w:tr>
      <w:tr w14:paraId="75AF95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D8F8220">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202CB57">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0C5C7F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时效指标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517B82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项目经费支付及时性</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7205B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8A216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&gt;=95%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326098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4C85A6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EEC73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7033E2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452BBB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3304A9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124F2A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原始凭证</w:t>
            </w:r>
          </w:p>
        </w:tc>
        <w:tc>
          <w:tcPr>
            <w:tcW w:w="825" w:type="pct"/>
            <w:tcBorders>
              <w:top w:val="single" w:color="000000" w:sz="4" w:space="0"/>
              <w:left w:val="single" w:color="000000" w:sz="4" w:space="0"/>
              <w:bottom w:val="single" w:color="000000" w:sz="4" w:space="0"/>
              <w:right w:val="single" w:color="000000" w:sz="4" w:space="0"/>
            </w:tcBorders>
            <w:shd w:val="clear"/>
            <w:vAlign w:val="center"/>
          </w:tcPr>
          <w:p w14:paraId="1FC906AB">
            <w:pPr>
              <w:jc w:val="center"/>
              <w:rPr>
                <w:rFonts w:hint="eastAsia" w:ascii="宋体" w:hAnsi="宋体" w:eastAsia="宋体" w:cs="宋体"/>
                <w:i w:val="0"/>
                <w:iCs w:val="0"/>
                <w:color w:val="000000"/>
                <w:sz w:val="18"/>
                <w:szCs w:val="18"/>
                <w:u w:val="none"/>
              </w:rPr>
            </w:pPr>
          </w:p>
        </w:tc>
      </w:tr>
      <w:tr w14:paraId="5601D7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8C169B7">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9445D7E">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56C397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时效指标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4A1717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设备采购完成时间</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48CEE8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32D37B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2024年11月30日</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46BE1E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=2024年11月30日</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7E651C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261592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C33FA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2933CD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707CDA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1E3C4E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原始凭证</w:t>
            </w:r>
          </w:p>
        </w:tc>
        <w:tc>
          <w:tcPr>
            <w:tcW w:w="825" w:type="pct"/>
            <w:tcBorders>
              <w:top w:val="single" w:color="000000" w:sz="4" w:space="0"/>
              <w:left w:val="single" w:color="000000" w:sz="4" w:space="0"/>
              <w:bottom w:val="single" w:color="000000" w:sz="4" w:space="0"/>
              <w:right w:val="single" w:color="000000" w:sz="4" w:space="0"/>
            </w:tcBorders>
            <w:shd w:val="clear"/>
            <w:vAlign w:val="center"/>
          </w:tcPr>
          <w:p w14:paraId="36CC6CC6">
            <w:pPr>
              <w:jc w:val="center"/>
              <w:rPr>
                <w:rFonts w:hint="eastAsia" w:ascii="宋体" w:hAnsi="宋体" w:eastAsia="宋体" w:cs="宋体"/>
                <w:i w:val="0"/>
                <w:iCs w:val="0"/>
                <w:color w:val="000000"/>
                <w:sz w:val="18"/>
                <w:szCs w:val="18"/>
                <w:u w:val="none"/>
              </w:rPr>
            </w:pPr>
          </w:p>
        </w:tc>
      </w:tr>
      <w:tr w14:paraId="00699D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31"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84EEEC4">
            <w:pPr>
              <w:jc w:val="center"/>
              <w:rPr>
                <w:rFonts w:hint="eastAsia" w:ascii="宋体" w:hAnsi="宋体" w:eastAsia="宋体" w:cs="宋体"/>
                <w:b/>
                <w:bCs/>
                <w:i w:val="0"/>
                <w:iCs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14:paraId="64CDCE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成本指标</w:t>
            </w: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61D7C7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3E8FA2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项目预算控制率</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B0D50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33DDF0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&lt;=100%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3F24F1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=87.6%</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DA50A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87.6</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050ED3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13.8</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21290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预算支出标准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0219C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582475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64011F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原始凭证</w:t>
            </w:r>
          </w:p>
        </w:tc>
        <w:tc>
          <w:tcPr>
            <w:tcW w:w="825" w:type="pct"/>
            <w:tcBorders>
              <w:top w:val="single" w:color="000000" w:sz="4" w:space="0"/>
              <w:left w:val="single" w:color="000000" w:sz="4" w:space="0"/>
              <w:bottom w:val="single" w:color="000000" w:sz="4" w:space="0"/>
              <w:right w:val="single" w:color="000000" w:sz="4" w:space="0"/>
            </w:tcBorders>
            <w:shd w:val="clear"/>
            <w:vAlign w:val="center"/>
          </w:tcPr>
          <w:p w14:paraId="07E43E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项目预算控制率目标值小于等于100%，业绩完成值87.6%，完成率为87.60%,故偏差率为12.40%;原因：无线电业务运维项目购置高性能手持式频谱分析仪，预算为25.80万元，中标价22.60万元，预算执行率为87.60%</w:t>
            </w:r>
          </w:p>
        </w:tc>
      </w:tr>
      <w:tr w14:paraId="6CE490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C460EC1">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A79D815">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56A079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社会成本指标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7485F02E">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3BF101EB">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F1B12DF">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4AC6BC7">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7B6575D7">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CDA19A5">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3A66EE9F">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372588B2">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4E1C8C54">
            <w:pPr>
              <w:jc w:val="center"/>
              <w:rPr>
                <w:rFonts w:hint="eastAsia" w:ascii="宋体" w:hAnsi="宋体" w:eastAsia="宋体" w:cs="宋体"/>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131F1440">
            <w:pPr>
              <w:jc w:val="center"/>
              <w:rPr>
                <w:rFonts w:hint="eastAsia" w:ascii="宋体" w:hAnsi="宋体" w:eastAsia="宋体" w:cs="宋体"/>
                <w:i w:val="0"/>
                <w:iCs w:val="0"/>
                <w:color w:val="000000"/>
                <w:sz w:val="18"/>
                <w:szCs w:val="18"/>
                <w:u w:val="none"/>
              </w:rPr>
            </w:pPr>
          </w:p>
        </w:tc>
        <w:tc>
          <w:tcPr>
            <w:tcW w:w="825" w:type="pct"/>
            <w:tcBorders>
              <w:top w:val="single" w:color="000000" w:sz="4" w:space="0"/>
              <w:left w:val="single" w:color="000000" w:sz="4" w:space="0"/>
              <w:bottom w:val="single" w:color="000000" w:sz="4" w:space="0"/>
              <w:right w:val="single" w:color="000000" w:sz="4" w:space="0"/>
            </w:tcBorders>
            <w:shd w:val="clear"/>
            <w:vAlign w:val="center"/>
          </w:tcPr>
          <w:p w14:paraId="3BB2F4A8">
            <w:pPr>
              <w:jc w:val="center"/>
              <w:rPr>
                <w:rFonts w:hint="eastAsia" w:ascii="宋体" w:hAnsi="宋体" w:eastAsia="宋体" w:cs="宋体"/>
                <w:i w:val="0"/>
                <w:iCs w:val="0"/>
                <w:color w:val="000000"/>
                <w:sz w:val="18"/>
                <w:szCs w:val="18"/>
                <w:u w:val="none"/>
              </w:rPr>
            </w:pPr>
          </w:p>
        </w:tc>
      </w:tr>
      <w:tr w14:paraId="405B72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1"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FC51922">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DAD5B81">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72736C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生态环境成本指标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1311F887">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21004E34">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23FA174F">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06CDBF67">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7201753A">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683326F">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44596596">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3859FD4E">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6C0FB147">
            <w:pPr>
              <w:jc w:val="center"/>
              <w:rPr>
                <w:rFonts w:hint="eastAsia" w:ascii="宋体" w:hAnsi="宋体" w:eastAsia="宋体" w:cs="宋体"/>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0586C57D">
            <w:pPr>
              <w:jc w:val="center"/>
              <w:rPr>
                <w:rFonts w:hint="eastAsia" w:ascii="宋体" w:hAnsi="宋体" w:eastAsia="宋体" w:cs="宋体"/>
                <w:i w:val="0"/>
                <w:iCs w:val="0"/>
                <w:color w:val="000000"/>
                <w:sz w:val="18"/>
                <w:szCs w:val="18"/>
                <w:u w:val="none"/>
              </w:rPr>
            </w:pPr>
          </w:p>
        </w:tc>
        <w:tc>
          <w:tcPr>
            <w:tcW w:w="825" w:type="pct"/>
            <w:tcBorders>
              <w:top w:val="single" w:color="000000" w:sz="4" w:space="0"/>
              <w:left w:val="single" w:color="000000" w:sz="4" w:space="0"/>
              <w:bottom w:val="single" w:color="000000" w:sz="4" w:space="0"/>
              <w:right w:val="single" w:color="000000" w:sz="4" w:space="0"/>
            </w:tcBorders>
            <w:shd w:val="clear"/>
            <w:vAlign w:val="center"/>
          </w:tcPr>
          <w:p w14:paraId="0AABE9F7">
            <w:pPr>
              <w:jc w:val="center"/>
              <w:rPr>
                <w:rFonts w:hint="eastAsia" w:ascii="宋体" w:hAnsi="宋体" w:eastAsia="宋体" w:cs="宋体"/>
                <w:i w:val="0"/>
                <w:iCs w:val="0"/>
                <w:color w:val="000000"/>
                <w:sz w:val="18"/>
                <w:szCs w:val="18"/>
                <w:u w:val="none"/>
              </w:rPr>
            </w:pPr>
          </w:p>
        </w:tc>
      </w:tr>
      <w:tr w14:paraId="5C221F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623A9F6">
            <w:pPr>
              <w:jc w:val="center"/>
              <w:rPr>
                <w:rFonts w:hint="eastAsia" w:ascii="宋体" w:hAnsi="宋体" w:eastAsia="宋体" w:cs="宋体"/>
                <w:b/>
                <w:bCs/>
                <w:i w:val="0"/>
                <w:iCs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14:paraId="31F049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效益指标</w:t>
            </w: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55389D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经济效益指标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20C43F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设备利用率</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052499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0AA49A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&gt;=95%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04FFDD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90FF6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7C7FD1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2CAA7A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428587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31FE68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15DDFC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825" w:type="pct"/>
            <w:tcBorders>
              <w:top w:val="single" w:color="000000" w:sz="4" w:space="0"/>
              <w:left w:val="single" w:color="000000" w:sz="4" w:space="0"/>
              <w:bottom w:val="single" w:color="000000" w:sz="4" w:space="0"/>
              <w:right w:val="single" w:color="000000" w:sz="4" w:space="0"/>
            </w:tcBorders>
            <w:shd w:val="clear"/>
            <w:vAlign w:val="center"/>
          </w:tcPr>
          <w:p w14:paraId="6624921B">
            <w:pPr>
              <w:jc w:val="center"/>
              <w:rPr>
                <w:rFonts w:hint="eastAsia" w:ascii="宋体" w:hAnsi="宋体" w:eastAsia="宋体" w:cs="宋体"/>
                <w:i w:val="0"/>
                <w:iCs w:val="0"/>
                <w:color w:val="000000"/>
                <w:sz w:val="18"/>
                <w:szCs w:val="18"/>
                <w:u w:val="none"/>
              </w:rPr>
            </w:pPr>
          </w:p>
        </w:tc>
      </w:tr>
      <w:tr w14:paraId="56502B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A24667B">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05830CF">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136F5E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社会效益指标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61588C8C">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4B7B31EF">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DABCA90">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D7C5897">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490DAC01">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072D43AD">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394BC3DC">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98D3048">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79EDCF85">
            <w:pPr>
              <w:jc w:val="center"/>
              <w:rPr>
                <w:rFonts w:hint="eastAsia" w:ascii="宋体" w:hAnsi="宋体" w:eastAsia="宋体" w:cs="宋体"/>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1A5ACB5A">
            <w:pPr>
              <w:jc w:val="center"/>
              <w:rPr>
                <w:rFonts w:hint="eastAsia" w:ascii="宋体" w:hAnsi="宋体" w:eastAsia="宋体" w:cs="宋体"/>
                <w:i w:val="0"/>
                <w:iCs w:val="0"/>
                <w:color w:val="000000"/>
                <w:sz w:val="18"/>
                <w:szCs w:val="18"/>
                <w:u w:val="none"/>
              </w:rPr>
            </w:pPr>
          </w:p>
        </w:tc>
        <w:tc>
          <w:tcPr>
            <w:tcW w:w="825" w:type="pct"/>
            <w:tcBorders>
              <w:top w:val="single" w:color="000000" w:sz="4" w:space="0"/>
              <w:left w:val="single" w:color="000000" w:sz="4" w:space="0"/>
              <w:bottom w:val="single" w:color="000000" w:sz="4" w:space="0"/>
              <w:right w:val="single" w:color="000000" w:sz="4" w:space="0"/>
            </w:tcBorders>
            <w:shd w:val="clear"/>
            <w:vAlign w:val="center"/>
          </w:tcPr>
          <w:p w14:paraId="6F6C4988">
            <w:pPr>
              <w:jc w:val="center"/>
              <w:rPr>
                <w:rFonts w:hint="eastAsia" w:ascii="宋体" w:hAnsi="宋体" w:eastAsia="宋体" w:cs="宋体"/>
                <w:i w:val="0"/>
                <w:iCs w:val="0"/>
                <w:color w:val="000000"/>
                <w:sz w:val="18"/>
                <w:szCs w:val="18"/>
                <w:u w:val="none"/>
              </w:rPr>
            </w:pPr>
          </w:p>
        </w:tc>
      </w:tr>
      <w:tr w14:paraId="513E8E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4C70439">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61B8B30">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269B06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生态效益指标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0AD144CC">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029BEB98">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39A5C20">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2519F32">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F3EB373">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DAE814B">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6BABFCD">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DC5C77D">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667887FC">
            <w:pPr>
              <w:jc w:val="center"/>
              <w:rPr>
                <w:rFonts w:hint="eastAsia" w:ascii="宋体" w:hAnsi="宋体" w:eastAsia="宋体" w:cs="宋体"/>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5B17E023">
            <w:pPr>
              <w:jc w:val="center"/>
              <w:rPr>
                <w:rFonts w:hint="eastAsia" w:ascii="宋体" w:hAnsi="宋体" w:eastAsia="宋体" w:cs="宋体"/>
                <w:i w:val="0"/>
                <w:iCs w:val="0"/>
                <w:color w:val="000000"/>
                <w:sz w:val="18"/>
                <w:szCs w:val="18"/>
                <w:u w:val="none"/>
              </w:rPr>
            </w:pPr>
          </w:p>
        </w:tc>
        <w:tc>
          <w:tcPr>
            <w:tcW w:w="825" w:type="pct"/>
            <w:tcBorders>
              <w:top w:val="single" w:color="000000" w:sz="4" w:space="0"/>
              <w:left w:val="single" w:color="000000" w:sz="4" w:space="0"/>
              <w:bottom w:val="single" w:color="000000" w:sz="4" w:space="0"/>
              <w:right w:val="single" w:color="000000" w:sz="4" w:space="0"/>
            </w:tcBorders>
            <w:shd w:val="clear"/>
            <w:vAlign w:val="center"/>
          </w:tcPr>
          <w:p w14:paraId="3C913249">
            <w:pPr>
              <w:jc w:val="center"/>
              <w:rPr>
                <w:rFonts w:hint="eastAsia" w:ascii="宋体" w:hAnsi="宋体" w:eastAsia="宋体" w:cs="宋体"/>
                <w:i w:val="0"/>
                <w:iCs w:val="0"/>
                <w:color w:val="000000"/>
                <w:sz w:val="18"/>
                <w:szCs w:val="18"/>
                <w:u w:val="none"/>
              </w:rPr>
            </w:pPr>
          </w:p>
        </w:tc>
      </w:tr>
      <w:tr w14:paraId="61EC4E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57A05EB">
            <w:pPr>
              <w:jc w:val="center"/>
              <w:rPr>
                <w:rFonts w:hint="eastAsia" w:ascii="宋体" w:hAnsi="宋体" w:eastAsia="宋体" w:cs="宋体"/>
                <w:b/>
                <w:bCs/>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2AC6F6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满意度指标</w:t>
            </w: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3E95FC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满意度指标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789DE5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设备使用人员满意度</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65C3F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7BAB79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&gt;=98%</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2A7DCC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=98%</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CCD44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AB8B0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2077D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4BB5D3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1B240D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满意度赋分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101100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825" w:type="pct"/>
            <w:tcBorders>
              <w:top w:val="single" w:color="000000" w:sz="4" w:space="0"/>
              <w:left w:val="single" w:color="000000" w:sz="4" w:space="0"/>
              <w:bottom w:val="single" w:color="000000" w:sz="4" w:space="0"/>
              <w:right w:val="single" w:color="000000" w:sz="4" w:space="0"/>
            </w:tcBorders>
            <w:shd w:val="clear"/>
            <w:vAlign w:val="center"/>
          </w:tcPr>
          <w:p w14:paraId="087B176B">
            <w:pPr>
              <w:jc w:val="center"/>
              <w:rPr>
                <w:rFonts w:hint="eastAsia" w:ascii="宋体" w:hAnsi="宋体" w:eastAsia="宋体" w:cs="宋体"/>
                <w:i w:val="0"/>
                <w:iCs w:val="0"/>
                <w:color w:val="000000"/>
                <w:sz w:val="18"/>
                <w:szCs w:val="18"/>
                <w:u w:val="none"/>
              </w:rPr>
            </w:pPr>
          </w:p>
        </w:tc>
      </w:tr>
      <w:tr w14:paraId="593B44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092" w:type="pct"/>
            <w:gridSpan w:val="4"/>
            <w:tcBorders>
              <w:top w:val="single" w:color="000000" w:sz="4" w:space="0"/>
              <w:left w:val="single" w:color="000000" w:sz="4" w:space="0"/>
              <w:bottom w:val="single" w:color="000000" w:sz="4" w:space="0"/>
              <w:right w:val="nil"/>
            </w:tcBorders>
            <w:shd w:val="clear"/>
            <w:vAlign w:val="center"/>
          </w:tcPr>
          <w:p w14:paraId="6297400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总分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487D80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2" w:type="pct"/>
            <w:tcBorders>
              <w:top w:val="single" w:color="000000" w:sz="4" w:space="0"/>
              <w:left w:val="nil"/>
              <w:bottom w:val="single" w:color="000000" w:sz="4" w:space="0"/>
              <w:right w:val="single" w:color="000000" w:sz="4" w:space="0"/>
            </w:tcBorders>
            <w:shd w:val="clear"/>
            <w:vAlign w:val="center"/>
          </w:tcPr>
          <w:p w14:paraId="6340BD17">
            <w:pPr>
              <w:rPr>
                <w:rFonts w:hint="eastAsia" w:ascii="宋体" w:hAnsi="宋体" w:eastAsia="宋体" w:cs="宋体"/>
                <w:b/>
                <w:bCs/>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32BF2A45">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017638F2">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317C55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92.56分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F5A46E4">
            <w:pP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4CF6B140">
            <w:pP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4ABF3623">
            <w:pPr>
              <w:rPr>
                <w:rFonts w:hint="eastAsia" w:ascii="宋体" w:hAnsi="宋体" w:eastAsia="宋体" w:cs="宋体"/>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2A587D4E">
            <w:pPr>
              <w:rPr>
                <w:rFonts w:hint="eastAsia" w:ascii="宋体" w:hAnsi="宋体" w:eastAsia="宋体" w:cs="宋体"/>
                <w:i w:val="0"/>
                <w:iCs w:val="0"/>
                <w:color w:val="000000"/>
                <w:sz w:val="18"/>
                <w:szCs w:val="18"/>
                <w:u w:val="none"/>
              </w:rPr>
            </w:pPr>
          </w:p>
        </w:tc>
        <w:tc>
          <w:tcPr>
            <w:tcW w:w="825" w:type="pct"/>
            <w:tcBorders>
              <w:top w:val="single" w:color="000000" w:sz="4" w:space="0"/>
              <w:left w:val="single" w:color="000000" w:sz="4" w:space="0"/>
              <w:bottom w:val="single" w:color="000000" w:sz="4" w:space="0"/>
              <w:right w:val="single" w:color="000000" w:sz="4" w:space="0"/>
            </w:tcBorders>
            <w:shd w:val="clear"/>
            <w:vAlign w:val="center"/>
          </w:tcPr>
          <w:p w14:paraId="2329EBF7">
            <w:pPr>
              <w:rPr>
                <w:rFonts w:hint="eastAsia" w:ascii="宋体" w:hAnsi="宋体" w:eastAsia="宋体" w:cs="宋体"/>
                <w:i w:val="0"/>
                <w:iCs w:val="0"/>
                <w:color w:val="000000"/>
                <w:sz w:val="18"/>
                <w:szCs w:val="18"/>
                <w:u w:val="none"/>
              </w:rPr>
            </w:pPr>
          </w:p>
        </w:tc>
      </w:tr>
    </w:tbl>
    <w:p w14:paraId="49B1A116">
      <w:pPr>
        <w:pStyle w:val="2"/>
        <w:rPr>
          <w:rFonts w:hint="default"/>
        </w:rPr>
      </w:pPr>
    </w:p>
    <w:sectPr>
      <w:pgSz w:w="16838" w:h="11906" w:orient="landscape"/>
      <w:pgMar w:top="1236" w:right="1440" w:bottom="1559"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1B6C014-7ADD-43A4-9FA2-86367311907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F2C9939F-5B43-41EE-A879-FC06C692D688}"/>
  </w:font>
  <w:font w:name="华文中宋">
    <w:altName w:val="宋体"/>
    <w:panose1 w:val="02010600040101010101"/>
    <w:charset w:val="86"/>
    <w:family w:val="auto"/>
    <w:pitch w:val="default"/>
    <w:sig w:usb0="00000000" w:usb1="00000000" w:usb2="00000000" w:usb3="00000000" w:csb0="0004009F" w:csb1="DFD70000"/>
    <w:embedRegular r:id="rId3" w:fontKey="{9781BB4E-6BCA-473B-A06A-95A4E499B6F4}"/>
  </w:font>
  <w:font w:name="方正小标宋_GBK">
    <w:panose1 w:val="02000000000000000000"/>
    <w:charset w:val="86"/>
    <w:family w:val="script"/>
    <w:pitch w:val="default"/>
    <w:sig w:usb0="A00002BF" w:usb1="38CF7CFA" w:usb2="00082016" w:usb3="00000000" w:csb0="00040001" w:csb1="00000000"/>
    <w:embedRegular r:id="rId4" w:fontKey="{5FB018F0-81D4-45AB-8C4E-F847D6C9BBC2}"/>
  </w:font>
  <w:font w:name="楷体_GB2312">
    <w:panose1 w:val="02010609030101010101"/>
    <w:charset w:val="86"/>
    <w:family w:val="auto"/>
    <w:pitch w:val="default"/>
    <w:sig w:usb0="00000001" w:usb1="080E0000" w:usb2="00000000" w:usb3="00000000" w:csb0="00040000" w:csb1="00000000"/>
    <w:embedRegular r:id="rId5" w:fontKey="{B3343462-F56D-4AB1-AEB8-0D7B920F7D12}"/>
  </w:font>
  <w:font w:name="楷体">
    <w:panose1 w:val="02010609060101010101"/>
    <w:charset w:val="86"/>
    <w:family w:val="modern"/>
    <w:pitch w:val="default"/>
    <w:sig w:usb0="800002BF" w:usb1="38CF7CFA" w:usb2="00000016" w:usb3="00000000" w:csb0="00040001" w:csb1="00000000"/>
    <w:embedRegular r:id="rId6" w:fontKey="{58593662-5D7A-44AF-B518-B885C122D82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741750B4">
        <w:pPr>
          <w:pStyle w:val="8"/>
          <w:jc w:val="center"/>
        </w:pPr>
        <w:r>
          <w:fldChar w:fldCharType="begin"/>
        </w:r>
        <w:r>
          <w:instrText xml:space="preserve">PAGE   \* MERGEFORMAT</w:instrText>
        </w:r>
        <w:r>
          <w:fldChar w:fldCharType="separate"/>
        </w:r>
        <w:r>
          <w:rPr>
            <w:lang w:val="zh-CN"/>
          </w:rPr>
          <w:t>13</w:t>
        </w:r>
        <w:r>
          <w:fldChar w:fldCharType="end"/>
        </w:r>
      </w:p>
    </w:sdtContent>
  </w:sdt>
  <w:p w14:paraId="7CDD46C3">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1E7CE0"/>
    <w:multiLevelType w:val="singleLevel"/>
    <w:tmpl w:val="CA1E7CE0"/>
    <w:lvl w:ilvl="0" w:tentative="0">
      <w:start w:val="1"/>
      <w:numFmt w:val="decimal"/>
      <w:lvlText w:val="%1."/>
      <w:lvlJc w:val="left"/>
      <w:pPr>
        <w:tabs>
          <w:tab w:val="left" w:pos="312"/>
        </w:tabs>
      </w:pPr>
    </w:lvl>
  </w:abstractNum>
  <w:abstractNum w:abstractNumId="1">
    <w:nsid w:val="F4CD2B0F"/>
    <w:multiLevelType w:val="singleLevel"/>
    <w:tmpl w:val="F4CD2B0F"/>
    <w:lvl w:ilvl="0" w:tentative="0">
      <w:start w:val="1"/>
      <w:numFmt w:val="decimal"/>
      <w:suff w:val="nothing"/>
      <w:lvlText w:val="（%1）"/>
      <w:lvlJc w:val="left"/>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6F959642"/>
    <w:multiLevelType w:val="singleLevel"/>
    <w:tmpl w:val="6F959642"/>
    <w:lvl w:ilvl="0" w:tentative="0">
      <w:start w:val="2"/>
      <w:numFmt w:val="decimal"/>
      <w:lvlText w:val="%1."/>
      <w:lvlJc w:val="left"/>
      <w:pPr>
        <w:tabs>
          <w:tab w:val="left" w:pos="312"/>
        </w:tabs>
      </w:pPr>
    </w:lvl>
  </w:abstractNum>
  <w:abstractNum w:abstractNumId="5">
    <w:nsid w:val="6FAA0AB1"/>
    <w:multiLevelType w:val="singleLevel"/>
    <w:tmpl w:val="6FAA0AB1"/>
    <w:lvl w:ilvl="0" w:tentative="0">
      <w:start w:val="2"/>
      <w:numFmt w:val="chineseCounting"/>
      <w:suff w:val="nothing"/>
      <w:lvlText w:val="（%1）"/>
      <w:lvlJc w:val="left"/>
      <w:rPr>
        <w:rFonts w:hint="eastAsia"/>
      </w:rPr>
    </w:lvl>
  </w:abstractNum>
  <w:num w:numId="1">
    <w:abstractNumId w:val="4"/>
  </w:num>
  <w:num w:numId="2">
    <w:abstractNumId w:val="1"/>
  </w:num>
  <w:num w:numId="3">
    <w:abstractNumId w:val="3"/>
  </w:num>
  <w:num w:numId="4">
    <w:abstractNumId w:val="5"/>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AD10E6"/>
    <w:rsid w:val="00F26FF6"/>
    <w:rsid w:val="01610122"/>
    <w:rsid w:val="02510197"/>
    <w:rsid w:val="03EC461B"/>
    <w:rsid w:val="055B3806"/>
    <w:rsid w:val="070677A2"/>
    <w:rsid w:val="07397B77"/>
    <w:rsid w:val="079600FE"/>
    <w:rsid w:val="0AD007F3"/>
    <w:rsid w:val="0C30706F"/>
    <w:rsid w:val="0C607954"/>
    <w:rsid w:val="0D0C188A"/>
    <w:rsid w:val="0D1F336B"/>
    <w:rsid w:val="0DDC300B"/>
    <w:rsid w:val="0E3C619F"/>
    <w:rsid w:val="0F9F0794"/>
    <w:rsid w:val="11170296"/>
    <w:rsid w:val="12E7492B"/>
    <w:rsid w:val="13471461"/>
    <w:rsid w:val="13B90F01"/>
    <w:rsid w:val="155E4C4D"/>
    <w:rsid w:val="17462648"/>
    <w:rsid w:val="181066D2"/>
    <w:rsid w:val="19595E57"/>
    <w:rsid w:val="19BB266E"/>
    <w:rsid w:val="1C671E73"/>
    <w:rsid w:val="1D1125A5"/>
    <w:rsid w:val="1D216581"/>
    <w:rsid w:val="1D322C47"/>
    <w:rsid w:val="21A8797C"/>
    <w:rsid w:val="228201CD"/>
    <w:rsid w:val="23616034"/>
    <w:rsid w:val="23D4607E"/>
    <w:rsid w:val="24480FA2"/>
    <w:rsid w:val="2495016C"/>
    <w:rsid w:val="25227A45"/>
    <w:rsid w:val="26AC3A6A"/>
    <w:rsid w:val="281178FD"/>
    <w:rsid w:val="287C56BE"/>
    <w:rsid w:val="2A133E00"/>
    <w:rsid w:val="2B9D7E25"/>
    <w:rsid w:val="2C027C88"/>
    <w:rsid w:val="2C7C7A3B"/>
    <w:rsid w:val="2D8755B3"/>
    <w:rsid w:val="2EFC0D68"/>
    <w:rsid w:val="2F364819"/>
    <w:rsid w:val="2FD63906"/>
    <w:rsid w:val="328720C9"/>
    <w:rsid w:val="35F1149A"/>
    <w:rsid w:val="37215DAE"/>
    <w:rsid w:val="388D1222"/>
    <w:rsid w:val="38CA40DD"/>
    <w:rsid w:val="395F2B56"/>
    <w:rsid w:val="3BBA0580"/>
    <w:rsid w:val="3BECE841"/>
    <w:rsid w:val="3CDB255C"/>
    <w:rsid w:val="3CDE204C"/>
    <w:rsid w:val="3D363C36"/>
    <w:rsid w:val="3DA23079"/>
    <w:rsid w:val="3E9C3F6D"/>
    <w:rsid w:val="3FF7797D"/>
    <w:rsid w:val="46690BD8"/>
    <w:rsid w:val="486E0728"/>
    <w:rsid w:val="49E05655"/>
    <w:rsid w:val="49F70BF1"/>
    <w:rsid w:val="49F92273"/>
    <w:rsid w:val="4B4340EE"/>
    <w:rsid w:val="4B5F25AA"/>
    <w:rsid w:val="4BF06537"/>
    <w:rsid w:val="4E127DA7"/>
    <w:rsid w:val="503D507A"/>
    <w:rsid w:val="51FA74D0"/>
    <w:rsid w:val="52AA4A52"/>
    <w:rsid w:val="54370568"/>
    <w:rsid w:val="546724CF"/>
    <w:rsid w:val="58BF28DA"/>
    <w:rsid w:val="59943D66"/>
    <w:rsid w:val="59E051FD"/>
    <w:rsid w:val="59E6355E"/>
    <w:rsid w:val="5B7025B1"/>
    <w:rsid w:val="5B821531"/>
    <w:rsid w:val="5BFF6039"/>
    <w:rsid w:val="5D76A616"/>
    <w:rsid w:val="5D7F20B9"/>
    <w:rsid w:val="5DAC7D0E"/>
    <w:rsid w:val="5F98B5AF"/>
    <w:rsid w:val="5FFE8511"/>
    <w:rsid w:val="5FFEACE2"/>
    <w:rsid w:val="609D5BF6"/>
    <w:rsid w:val="60E27AAD"/>
    <w:rsid w:val="61073070"/>
    <w:rsid w:val="6115578D"/>
    <w:rsid w:val="61B9080E"/>
    <w:rsid w:val="61DF3FED"/>
    <w:rsid w:val="642B176B"/>
    <w:rsid w:val="643EE26D"/>
    <w:rsid w:val="656019A0"/>
    <w:rsid w:val="65F242EE"/>
    <w:rsid w:val="666D7E19"/>
    <w:rsid w:val="68376930"/>
    <w:rsid w:val="68F91E38"/>
    <w:rsid w:val="694766FF"/>
    <w:rsid w:val="69767E03"/>
    <w:rsid w:val="6B3158B9"/>
    <w:rsid w:val="6BA02A3F"/>
    <w:rsid w:val="6C1E5A53"/>
    <w:rsid w:val="6C473525"/>
    <w:rsid w:val="6CBB3881"/>
    <w:rsid w:val="6DD20F3C"/>
    <w:rsid w:val="6F5C41AC"/>
    <w:rsid w:val="6FAC7C04"/>
    <w:rsid w:val="6FAF6C78"/>
    <w:rsid w:val="70F80C27"/>
    <w:rsid w:val="716167CC"/>
    <w:rsid w:val="718A7AD1"/>
    <w:rsid w:val="72346C49"/>
    <w:rsid w:val="72A44BC2"/>
    <w:rsid w:val="7317C656"/>
    <w:rsid w:val="734ED73F"/>
    <w:rsid w:val="73C82B32"/>
    <w:rsid w:val="73F94DAE"/>
    <w:rsid w:val="74220495"/>
    <w:rsid w:val="747D1B6F"/>
    <w:rsid w:val="749E5641"/>
    <w:rsid w:val="76271066"/>
    <w:rsid w:val="776FF713"/>
    <w:rsid w:val="77812262"/>
    <w:rsid w:val="77EF68E0"/>
    <w:rsid w:val="77FD8BE9"/>
    <w:rsid w:val="78000AED"/>
    <w:rsid w:val="79A9BD3F"/>
    <w:rsid w:val="7B315461"/>
    <w:rsid w:val="7B776F12"/>
    <w:rsid w:val="7BB4725B"/>
    <w:rsid w:val="7BFFFDD0"/>
    <w:rsid w:val="7C336E5F"/>
    <w:rsid w:val="7C8D4919"/>
    <w:rsid w:val="7D7A5F86"/>
    <w:rsid w:val="7E4B683A"/>
    <w:rsid w:val="7E5E656D"/>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777374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customStyle="1" w:styleId="2">
    <w:name w:val="无间隔1"/>
    <w:next w:val="1"/>
    <w:qFormat/>
    <w:uiPriority w:val="99"/>
    <w:pPr>
      <w:widowControl w:val="0"/>
      <w:jc w:val="both"/>
    </w:pPr>
    <w:rPr>
      <w:rFonts w:ascii="Calibri" w:hAnsi="Calibri" w:eastAsia="宋体" w:cs="Times New Roman"/>
      <w:kern w:val="2"/>
      <w:sz w:val="21"/>
      <w:szCs w:val="21"/>
      <w:lang w:val="en-US" w:eastAsia="zh-CN" w:bidi="ar-SA"/>
    </w:rPr>
  </w:style>
  <w:style w:type="paragraph" w:styleId="4">
    <w:name w:val="annotation text"/>
    <w:basedOn w:val="1"/>
    <w:link w:val="23"/>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spacing w:after="120"/>
      <w:ind w:left="420" w:leftChars="200"/>
    </w:pPr>
    <w:rPr>
      <w:rFonts w:ascii="Calibri" w:hAnsi="Calibri"/>
    </w:rPr>
  </w:style>
  <w:style w:type="paragraph" w:styleId="7">
    <w:name w:val="Balloon Text"/>
    <w:basedOn w:val="1"/>
    <w:link w:val="21"/>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subject"/>
    <w:basedOn w:val="4"/>
    <w:next w:val="4"/>
    <w:link w:val="24"/>
    <w:qFormat/>
    <w:uiPriority w:val="0"/>
    <w:rPr>
      <w:b/>
      <w:bCs/>
    </w:rPr>
  </w:style>
  <w:style w:type="paragraph" w:styleId="13">
    <w:name w:val="Body Text First Indent"/>
    <w:basedOn w:val="5"/>
    <w:qFormat/>
    <w:uiPriority w:val="0"/>
    <w:pPr>
      <w:spacing w:after="0"/>
      <w:ind w:firstLine="200" w:firstLineChars="200"/>
    </w:pPr>
  </w:style>
  <w:style w:type="paragraph" w:styleId="14">
    <w:name w:val="Body Text First Indent 2"/>
    <w:basedOn w:val="6"/>
    <w:qFormat/>
    <w:uiPriority w:val="0"/>
    <w:pPr>
      <w:ind w:firstLine="420" w:firstLineChars="200"/>
    </w:pPr>
  </w:style>
  <w:style w:type="character" w:styleId="17">
    <w:name w:val="Strong"/>
    <w:basedOn w:val="16"/>
    <w:qFormat/>
    <w:uiPriority w:val="0"/>
    <w:rPr>
      <w:b/>
      <w:bCs/>
    </w:rPr>
  </w:style>
  <w:style w:type="character" w:styleId="18">
    <w:name w:val="annotation reference"/>
    <w:basedOn w:val="16"/>
    <w:qFormat/>
    <w:uiPriority w:val="0"/>
    <w:rPr>
      <w:sz w:val="21"/>
      <w:szCs w:val="21"/>
    </w:rPr>
  </w:style>
  <w:style w:type="character" w:customStyle="1" w:styleId="19">
    <w:name w:val="fontstyle01"/>
    <w:qFormat/>
    <w:uiPriority w:val="0"/>
    <w:rPr>
      <w:rFonts w:ascii="仿宋_GB2312" w:hAnsi="仿宋_GB2312" w:eastAsia="仿宋_GB2312" w:cs="仿宋_GB2312"/>
      <w:color w:val="000000"/>
      <w:sz w:val="32"/>
      <w:szCs w:val="32"/>
    </w:rPr>
  </w:style>
  <w:style w:type="paragraph" w:customStyle="1" w:styleId="20">
    <w:name w:val="闻政-正文段落文字"/>
    <w:basedOn w:val="1"/>
    <w:qFormat/>
    <w:uiPriority w:val="3"/>
    <w:pPr>
      <w:spacing w:line="500" w:lineRule="exact"/>
      <w:ind w:firstLine="200"/>
    </w:pPr>
    <w:rPr>
      <w:kern w:val="0"/>
      <w:szCs w:val="28"/>
    </w:rPr>
  </w:style>
  <w:style w:type="character" w:customStyle="1" w:styleId="21">
    <w:name w:val="批注框文本 字符"/>
    <w:basedOn w:val="16"/>
    <w:link w:val="7"/>
    <w:qFormat/>
    <w:uiPriority w:val="0"/>
    <w:rPr>
      <w:rFonts w:ascii="Times New Roman" w:hAnsi="Times New Roman" w:eastAsia="宋体" w:cs="Times New Roman"/>
      <w:kern w:val="2"/>
      <w:sz w:val="18"/>
      <w:szCs w:val="18"/>
    </w:rPr>
  </w:style>
  <w:style w:type="character" w:customStyle="1" w:styleId="22">
    <w:name w:val="页眉 字符"/>
    <w:basedOn w:val="16"/>
    <w:link w:val="9"/>
    <w:qFormat/>
    <w:uiPriority w:val="0"/>
    <w:rPr>
      <w:rFonts w:ascii="Times New Roman" w:hAnsi="Times New Roman" w:eastAsia="宋体" w:cs="Times New Roman"/>
      <w:kern w:val="2"/>
      <w:sz w:val="18"/>
      <w:szCs w:val="18"/>
    </w:rPr>
  </w:style>
  <w:style w:type="character" w:customStyle="1" w:styleId="23">
    <w:name w:val="批注文字 字符"/>
    <w:basedOn w:val="16"/>
    <w:link w:val="4"/>
    <w:qFormat/>
    <w:uiPriority w:val="0"/>
    <w:rPr>
      <w:rFonts w:ascii="Times New Roman" w:hAnsi="Times New Roman" w:eastAsia="宋体" w:cs="Times New Roman"/>
      <w:kern w:val="2"/>
      <w:sz w:val="21"/>
      <w:szCs w:val="24"/>
    </w:rPr>
  </w:style>
  <w:style w:type="character" w:customStyle="1" w:styleId="24">
    <w:name w:val="批注主题 字符"/>
    <w:basedOn w:val="23"/>
    <w:link w:val="12"/>
    <w:qFormat/>
    <w:uiPriority w:val="0"/>
    <w:rPr>
      <w:rFonts w:ascii="Times New Roman" w:hAnsi="Times New Roman" w:eastAsia="宋体" w:cs="Times New Roman"/>
      <w:b/>
      <w:bCs/>
      <w:kern w:val="2"/>
      <w:sz w:val="21"/>
      <w:szCs w:val="24"/>
    </w:rPr>
  </w:style>
  <w:style w:type="paragraph" w:customStyle="1" w:styleId="25">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29</Pages>
  <Words>12438</Words>
  <Characters>12823</Characters>
  <Lines>58</Lines>
  <Paragraphs>16</Paragraphs>
  <TotalTime>12</TotalTime>
  <ScaleCrop>false</ScaleCrop>
  <LinksUpToDate>false</LinksUpToDate>
  <CharactersWithSpaces>12851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2023-03-09T05:13:00Z</dcterms:created>
  <dc:creator>审核人</dc:creator>
  <cp:lastModifiedBy>久溺深海</cp:lastModifiedBy>
  <cp:lastPrinted>2025-03-20T10:42:00Z</cp:lastPrinted>
  <dcterms:modified xsi:type="dcterms:W3CDTF">2025-08-27T04:40:32Z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EC99773F21B349659AE205148812517A_13</vt:lpwstr>
  </property>
  <property fmtid="{D5CDD505-2E9C-101B-9397-08002B2CF9AE}" pid="4" name="KSOTemplateDocerSaveRecord">
    <vt:lpwstr>eyJoZGlkIjoiNmZkMjYyYzAxYjhmOGVmYjRhNDdiNWU4MjMwYTAyNjgiLCJ1c2VySWQiOiIyNTIzNDE3MTMifQ==</vt:lpwstr>
  </property>
</Properties>
</file>