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8C1F9">
      <w:pPr>
        <w:spacing w:line="540" w:lineRule="exact"/>
        <w:jc w:val="center"/>
        <w:rPr>
          <w:rFonts w:hint="default" w:ascii="Times New Roman" w:hAnsi="Times New Roman" w:eastAsia="华文中宋" w:cs="Times New Roman"/>
          <w:b/>
          <w:kern w:val="0"/>
          <w:sz w:val="52"/>
          <w:szCs w:val="52"/>
        </w:rPr>
      </w:pPr>
    </w:p>
    <w:p w14:paraId="322A2093">
      <w:pPr>
        <w:spacing w:line="540" w:lineRule="exact"/>
        <w:rPr>
          <w:rFonts w:hint="default" w:ascii="Times New Roman" w:hAnsi="Times New Roman" w:eastAsia="华文中宋" w:cs="Times New Roman"/>
          <w:b/>
          <w:kern w:val="0"/>
          <w:sz w:val="52"/>
          <w:szCs w:val="52"/>
        </w:rPr>
      </w:pPr>
    </w:p>
    <w:p w14:paraId="431E4E3A">
      <w:pPr>
        <w:spacing w:line="540" w:lineRule="exact"/>
        <w:jc w:val="center"/>
        <w:rPr>
          <w:rFonts w:hint="default" w:ascii="Times New Roman" w:hAnsi="Times New Roman" w:eastAsia="华文中宋" w:cs="Times New Roman"/>
          <w:b/>
          <w:kern w:val="0"/>
          <w:sz w:val="52"/>
          <w:szCs w:val="52"/>
        </w:rPr>
      </w:pPr>
    </w:p>
    <w:p w14:paraId="4B680753">
      <w:pPr>
        <w:spacing w:line="540" w:lineRule="exact"/>
        <w:jc w:val="center"/>
        <w:rPr>
          <w:rFonts w:hint="default" w:ascii="Times New Roman" w:hAnsi="Times New Roman" w:eastAsia="华文中宋" w:cs="Times New Roman"/>
          <w:b/>
          <w:kern w:val="0"/>
          <w:sz w:val="52"/>
          <w:szCs w:val="52"/>
        </w:rPr>
      </w:pPr>
    </w:p>
    <w:p w14:paraId="36A5B880">
      <w:pPr>
        <w:keepNext w:val="0"/>
        <w:keepLines w:val="0"/>
        <w:pageBreakBefore w:val="0"/>
        <w:widowControl w:val="0"/>
        <w:kinsoku/>
        <w:wordWrap/>
        <w:overflowPunct/>
        <w:topLinePunct w:val="0"/>
        <w:autoSpaceDE/>
        <w:autoSpaceDN/>
        <w:bidi w:val="0"/>
        <w:adjustRightInd/>
        <w:snapToGrid/>
        <w:spacing w:line="540" w:lineRule="exact"/>
        <w:ind w:left="210" w:leftChars="100"/>
        <w:jc w:val="center"/>
        <w:textAlignment w:val="auto"/>
        <w:rPr>
          <w:rFonts w:hint="eastAsia" w:ascii="方正小标宋_GBK" w:hAnsi="方正小标宋_GBK" w:eastAsia="方正小标宋_GBK" w:cs="方正小标宋_GBK"/>
          <w:b/>
          <w:bCs/>
          <w:kern w:val="0"/>
          <w:sz w:val="48"/>
          <w:szCs w:val="48"/>
        </w:rPr>
      </w:pPr>
      <w:r>
        <w:rPr>
          <w:rFonts w:hint="eastAsia" w:ascii="方正小标宋_GBK" w:hAnsi="方正小标宋_GBK" w:eastAsia="方正小标宋_GBK" w:cs="方正小标宋_GBK"/>
          <w:b/>
          <w:bCs/>
          <w:w w:val="80"/>
          <w:kern w:val="0"/>
          <w:sz w:val="48"/>
          <w:szCs w:val="48"/>
          <w:u w:val="none"/>
        </w:rPr>
        <w:t>无线电资产运维及更新</w:t>
      </w:r>
      <w:r>
        <w:rPr>
          <w:rFonts w:hint="eastAsia" w:ascii="方正小标宋_GBK" w:hAnsi="方正小标宋_GBK" w:eastAsia="方正小标宋_GBK" w:cs="方正小标宋_GBK"/>
          <w:b/>
          <w:bCs/>
          <w:kern w:val="0"/>
          <w:sz w:val="48"/>
          <w:szCs w:val="48"/>
        </w:rPr>
        <w:t>项目支出</w:t>
      </w:r>
    </w:p>
    <w:p w14:paraId="4191A514">
      <w:pPr>
        <w:keepNext w:val="0"/>
        <w:keepLines w:val="0"/>
        <w:pageBreakBefore w:val="0"/>
        <w:widowControl w:val="0"/>
        <w:kinsoku/>
        <w:wordWrap/>
        <w:overflowPunct/>
        <w:topLinePunct w:val="0"/>
        <w:autoSpaceDE/>
        <w:autoSpaceDN/>
        <w:bidi w:val="0"/>
        <w:adjustRightInd/>
        <w:snapToGrid/>
        <w:spacing w:line="540" w:lineRule="exact"/>
        <w:ind w:left="210" w:leftChars="100"/>
        <w:jc w:val="center"/>
        <w:textAlignment w:val="auto"/>
        <w:rPr>
          <w:rFonts w:hint="eastAsia" w:ascii="方正小标宋_GBK" w:hAnsi="方正小标宋_GBK" w:eastAsia="方正小标宋_GBK" w:cs="方正小标宋_GBK"/>
          <w:b/>
          <w:bCs/>
          <w:kern w:val="0"/>
          <w:sz w:val="48"/>
          <w:szCs w:val="48"/>
        </w:rPr>
      </w:pPr>
      <w:r>
        <w:rPr>
          <w:rFonts w:hint="eastAsia" w:ascii="方正小标宋_GBK" w:hAnsi="方正小标宋_GBK" w:eastAsia="方正小标宋_GBK" w:cs="方正小标宋_GBK"/>
          <w:b/>
          <w:bCs/>
          <w:kern w:val="0"/>
          <w:sz w:val="48"/>
          <w:szCs w:val="48"/>
        </w:rPr>
        <w:t>绩效评价报告</w:t>
      </w:r>
    </w:p>
    <w:p w14:paraId="2D458DC4">
      <w:pPr>
        <w:spacing w:line="540" w:lineRule="exact"/>
        <w:jc w:val="center"/>
        <w:rPr>
          <w:rFonts w:hint="default" w:ascii="Times New Roman" w:hAnsi="Times New Roman" w:eastAsia="华文中宋" w:cs="Times New Roman"/>
          <w:b/>
          <w:kern w:val="0"/>
          <w:sz w:val="52"/>
          <w:szCs w:val="52"/>
        </w:rPr>
      </w:pPr>
    </w:p>
    <w:p w14:paraId="45FA6CCB">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3A6977F2">
      <w:pPr>
        <w:spacing w:line="540" w:lineRule="exact"/>
        <w:jc w:val="center"/>
        <w:rPr>
          <w:rFonts w:hint="default" w:ascii="Times New Roman" w:hAnsi="Times New Roman" w:eastAsia="仿宋_GB2312" w:cs="Times New Roman"/>
          <w:kern w:val="0"/>
          <w:sz w:val="30"/>
          <w:szCs w:val="30"/>
        </w:rPr>
      </w:pPr>
    </w:p>
    <w:p w14:paraId="4DE2B9FF">
      <w:pPr>
        <w:spacing w:line="540" w:lineRule="exact"/>
        <w:jc w:val="center"/>
        <w:rPr>
          <w:rFonts w:hint="default" w:ascii="Times New Roman" w:hAnsi="Times New Roman" w:eastAsia="仿宋_GB2312" w:cs="Times New Roman"/>
          <w:kern w:val="0"/>
          <w:sz w:val="30"/>
          <w:szCs w:val="30"/>
        </w:rPr>
      </w:pPr>
    </w:p>
    <w:p w14:paraId="7D01682D">
      <w:pPr>
        <w:spacing w:line="540" w:lineRule="exact"/>
        <w:jc w:val="center"/>
        <w:rPr>
          <w:rFonts w:hint="default" w:ascii="Times New Roman" w:hAnsi="Times New Roman" w:eastAsia="仿宋_GB2312" w:cs="Times New Roman"/>
          <w:kern w:val="0"/>
          <w:sz w:val="30"/>
          <w:szCs w:val="30"/>
        </w:rPr>
      </w:pPr>
    </w:p>
    <w:p w14:paraId="470C2323">
      <w:pPr>
        <w:pStyle w:val="11"/>
        <w:rPr>
          <w:rFonts w:hint="default" w:ascii="Times New Roman" w:hAnsi="Times New Roman" w:cs="Times New Roman"/>
        </w:rPr>
      </w:pPr>
    </w:p>
    <w:p w14:paraId="4CE9A99B">
      <w:pPr>
        <w:spacing w:line="540" w:lineRule="exact"/>
        <w:jc w:val="center"/>
        <w:rPr>
          <w:rFonts w:hint="default" w:ascii="Times New Roman" w:hAnsi="Times New Roman" w:eastAsia="仿宋_GB2312" w:cs="Times New Roman"/>
          <w:kern w:val="0"/>
          <w:sz w:val="30"/>
          <w:szCs w:val="30"/>
        </w:rPr>
      </w:pPr>
    </w:p>
    <w:p w14:paraId="4292E3D0">
      <w:pPr>
        <w:spacing w:line="540" w:lineRule="exact"/>
        <w:rPr>
          <w:rFonts w:hint="default" w:ascii="Times New Roman" w:hAnsi="Times New Roman" w:eastAsia="仿宋_GB2312" w:cs="Times New Roman"/>
          <w:kern w:val="0"/>
          <w:sz w:val="30"/>
          <w:szCs w:val="30"/>
        </w:rPr>
      </w:pPr>
    </w:p>
    <w:p w14:paraId="0F0D08C1">
      <w:pPr>
        <w:spacing w:line="700" w:lineRule="exact"/>
        <w:jc w:val="left"/>
        <w:rPr>
          <w:rFonts w:hint="eastAsia" w:ascii="仿宋_GB2312" w:hAnsi="仿宋_GB2312" w:eastAsia="仿宋_GB2312" w:cs="仿宋_GB2312"/>
          <w:sz w:val="36"/>
          <w:szCs w:val="36"/>
          <w:highlight w:val="none"/>
          <w:u w:val="none"/>
        </w:rPr>
      </w:pPr>
      <w:r>
        <w:rPr>
          <w:rFonts w:hint="eastAsia" w:ascii="仿宋_GB2312" w:hAnsi="仿宋_GB2312" w:eastAsia="仿宋_GB2312" w:cs="仿宋_GB2312"/>
          <w:kern w:val="0"/>
          <w:sz w:val="36"/>
          <w:szCs w:val="36"/>
        </w:rPr>
        <w:t>项目名称：</w:t>
      </w:r>
      <w:r>
        <w:rPr>
          <w:rFonts w:hint="default" w:ascii="Times New Roman" w:hAnsi="Times New Roman" w:eastAsia="仿宋_GB2312" w:cs="Times New Roman"/>
          <w:kern w:val="0"/>
          <w:sz w:val="36"/>
          <w:szCs w:val="36"/>
        </w:rPr>
        <w:t>无线电</w:t>
      </w:r>
      <w:r>
        <w:rPr>
          <w:rFonts w:hint="eastAsia" w:eastAsia="仿宋_GB2312" w:cs="Times New Roman"/>
          <w:kern w:val="0"/>
          <w:sz w:val="36"/>
          <w:szCs w:val="36"/>
          <w:lang w:val="en-US" w:eastAsia="zh-CN"/>
        </w:rPr>
        <w:t>资产运维及更新</w:t>
      </w:r>
      <w:r>
        <w:rPr>
          <w:rFonts w:hint="default" w:ascii="Times New Roman" w:hAnsi="Times New Roman" w:eastAsia="仿宋_GB2312" w:cs="Times New Roman"/>
          <w:kern w:val="0"/>
          <w:sz w:val="36"/>
          <w:szCs w:val="36"/>
        </w:rPr>
        <w:t>项目</w:t>
      </w:r>
      <w:r>
        <w:rPr>
          <w:rFonts w:hint="eastAsia" w:ascii="仿宋_GB2312" w:hAnsi="仿宋_GB2312" w:eastAsia="仿宋_GB2312" w:cs="仿宋_GB2312"/>
          <w:sz w:val="36"/>
          <w:szCs w:val="36"/>
          <w:highlight w:val="none"/>
          <w:u w:val="none"/>
        </w:rPr>
        <w:t xml:space="preserve"> </w:t>
      </w:r>
    </w:p>
    <w:p w14:paraId="5EAB8CC8">
      <w:pPr>
        <w:spacing w:line="700" w:lineRule="exact"/>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u w:val="none"/>
          <w:lang w:val="en-US" w:eastAsia="zh-CN"/>
        </w:rPr>
        <w:t>伊犁哈萨克自治州无线电管理中心</w:t>
      </w: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张海鹏</w:t>
      </w:r>
    </w:p>
    <w:p w14:paraId="7893432E">
      <w:pPr>
        <w:spacing w:line="700" w:lineRule="exact"/>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2025</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3</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13</w:t>
      </w:r>
      <w:r>
        <w:rPr>
          <w:rFonts w:hint="eastAsia" w:ascii="仿宋_GB2312" w:hAnsi="仿宋_GB2312" w:eastAsia="仿宋_GB2312" w:cs="仿宋_GB2312"/>
          <w:kern w:val="0"/>
          <w:sz w:val="36"/>
          <w:szCs w:val="36"/>
        </w:rPr>
        <w:t>日</w:t>
      </w:r>
    </w:p>
    <w:p w14:paraId="1896353D">
      <w:pPr>
        <w:spacing w:line="540" w:lineRule="exact"/>
        <w:jc w:val="center"/>
        <w:rPr>
          <w:rFonts w:hint="default" w:ascii="Times New Roman" w:hAnsi="Times New Roman" w:eastAsia="仿宋_GB2312" w:cs="Times New Roman"/>
          <w:kern w:val="0"/>
          <w:sz w:val="30"/>
          <w:szCs w:val="30"/>
        </w:rPr>
      </w:pPr>
    </w:p>
    <w:p w14:paraId="3372C130">
      <w:pPr>
        <w:spacing w:line="540" w:lineRule="exact"/>
        <w:rPr>
          <w:rStyle w:val="17"/>
          <w:rFonts w:hint="default" w:ascii="Times New Roman" w:hAnsi="Times New Roman" w:eastAsia="黑体" w:cs="Times New Roman"/>
          <w:b w:val="0"/>
          <w:spacing w:val="-4"/>
          <w:sz w:val="32"/>
          <w:szCs w:val="32"/>
        </w:rPr>
      </w:pPr>
    </w:p>
    <w:p w14:paraId="6BEB1332">
      <w:pPr>
        <w:spacing w:line="540" w:lineRule="exact"/>
        <w:ind w:firstLine="640"/>
        <w:rPr>
          <w:rStyle w:val="17"/>
          <w:rFonts w:hint="default" w:ascii="Times New Roman" w:hAnsi="Times New Roman" w:eastAsia="黑体" w:cs="Times New Roman"/>
          <w:b w:val="0"/>
          <w:spacing w:val="-4"/>
          <w:sz w:val="32"/>
          <w:szCs w:val="32"/>
        </w:rPr>
      </w:pPr>
    </w:p>
    <w:p w14:paraId="2D8742F6">
      <w:pPr>
        <w:spacing w:line="540" w:lineRule="exact"/>
        <w:rPr>
          <w:rStyle w:val="17"/>
          <w:rFonts w:hint="default" w:ascii="Times New Roman" w:hAnsi="Times New Roman" w:eastAsia="黑体" w:cs="Times New Roman"/>
          <w:b w:val="0"/>
          <w:spacing w:val="-4"/>
          <w:sz w:val="32"/>
          <w:szCs w:val="32"/>
        </w:rPr>
      </w:pPr>
    </w:p>
    <w:p w14:paraId="178FDB7E">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5E00BE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342A8138">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42E4AA27">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32C9E4F1">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总体国家安全观是习近平新时代中国特色社会主义思想的重要组成部分，无线电安全是总体国家安全不可或缺的一部分，事关人民安全、政治安全和国家利益，事关经济发展、国防建设和社会稳定。</w:t>
      </w:r>
    </w:p>
    <w:p w14:paraId="1BEA64B7">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为保障伊犁州监测中心正常开展业务，保障全部监测节点的无线电监测业务稳妥进行，做好基础硬件设施的安全运行，需使用非财政拨款结余事业基金申报无线电资产运维及更新项目17.87万元，用于弥补伊犁州无线电管理局专项事业经费不足，促进我局各项事业健康有序、</w:t>
      </w:r>
      <w:r>
        <w:rPr>
          <w:rFonts w:hint="eastAsia" w:ascii="仿宋_GB2312" w:hAnsi="仿宋_GB2312" w:eastAsia="仿宋_GB2312" w:cs="仿宋_GB2312"/>
          <w:sz w:val="32"/>
          <w:szCs w:val="32"/>
        </w:rPr>
        <w:t>助力经济社会发展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维护社会稳定和长治久安。</w:t>
      </w:r>
    </w:p>
    <w:p w14:paraId="0ABE93E8">
      <w:pPr>
        <w:pStyle w:val="11"/>
        <w:pageBreakBefore w:val="0"/>
        <w:numPr>
          <w:ilvl w:val="0"/>
          <w:numId w:val="0"/>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14:paraId="7E04238E">
      <w:pPr>
        <w:pageBreakBefore w:val="0"/>
        <w:kinsoku/>
        <w:wordWrap/>
        <w:overflowPunct/>
        <w:topLinePunct w:val="0"/>
        <w:autoSpaceDE/>
        <w:autoSpaceDN/>
        <w:bidi w:val="0"/>
        <w:adjustRightInd/>
        <w:snapToGrid/>
        <w:spacing w:line="560" w:lineRule="exact"/>
        <w:ind w:firstLine="640" w:firstLineChars="200"/>
        <w:textAlignment w:val="auto"/>
        <w:rPr>
          <w:rStyle w:val="17"/>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sz w:val="32"/>
          <w:szCs w:val="32"/>
          <w:highlight w:val="none"/>
          <w:lang w:val="en-US" w:eastAsia="zh-CN"/>
        </w:rPr>
        <w:t>项目主要内容：</w:t>
      </w:r>
      <w:r>
        <w:rPr>
          <w:rFonts w:hint="eastAsia" w:ascii="仿宋_GB2312" w:hAnsi="仿宋_GB2312" w:eastAsia="仿宋_GB2312" w:cs="仿宋_GB2312"/>
          <w:sz w:val="32"/>
          <w:szCs w:val="32"/>
          <w:lang w:val="en-US" w:eastAsia="zh-CN"/>
        </w:rPr>
        <w:t>根据2024年自治区无线电安全保障工作总体要求，结合伊犁州无线电管理局工作计划，</w:t>
      </w:r>
      <w:r>
        <w:rPr>
          <w:rStyle w:val="17"/>
          <w:rFonts w:hint="eastAsia" w:ascii="仿宋_GB2312" w:hAnsi="仿宋_GB2312" w:eastAsia="仿宋_GB2312" w:cs="仿宋_GB2312"/>
          <w:b w:val="0"/>
          <w:bCs w:val="0"/>
          <w:spacing w:val="-4"/>
          <w:sz w:val="32"/>
          <w:szCs w:val="32"/>
        </w:rPr>
        <w:t>申报</w:t>
      </w:r>
      <w:r>
        <w:rPr>
          <w:rStyle w:val="17"/>
          <w:rFonts w:hint="eastAsia" w:ascii="仿宋_GB2312" w:hAnsi="仿宋_GB2312" w:eastAsia="仿宋_GB2312" w:cs="仿宋_GB2312"/>
          <w:b w:val="0"/>
          <w:bCs w:val="0"/>
          <w:spacing w:val="-4"/>
          <w:sz w:val="32"/>
          <w:szCs w:val="32"/>
          <w:lang w:val="en-US" w:eastAsia="zh-CN"/>
        </w:rPr>
        <w:t>无线电资产运维及更新项目17.87</w:t>
      </w:r>
      <w:r>
        <w:rPr>
          <w:rStyle w:val="17"/>
          <w:rFonts w:hint="eastAsia" w:ascii="仿宋_GB2312" w:hAnsi="仿宋_GB2312" w:eastAsia="仿宋_GB2312" w:cs="仿宋_GB2312"/>
          <w:b w:val="0"/>
          <w:bCs w:val="0"/>
          <w:spacing w:val="-4"/>
          <w:sz w:val="32"/>
          <w:szCs w:val="32"/>
        </w:rPr>
        <w:t>万元</w:t>
      </w:r>
      <w:r>
        <w:rPr>
          <w:rStyle w:val="17"/>
          <w:rFonts w:hint="eastAsia" w:ascii="仿宋_GB2312" w:hAnsi="仿宋_GB2312" w:eastAsia="仿宋_GB2312" w:cs="仿宋_GB2312"/>
          <w:b w:val="0"/>
          <w:bCs w:val="0"/>
          <w:spacing w:val="-4"/>
          <w:sz w:val="32"/>
          <w:szCs w:val="32"/>
          <w:lang w:eastAsia="zh-CN"/>
        </w:rPr>
        <w:t>，</w:t>
      </w:r>
      <w:r>
        <w:rPr>
          <w:rStyle w:val="17"/>
          <w:rFonts w:hint="eastAsia" w:ascii="仿宋_GB2312" w:hAnsi="仿宋_GB2312" w:eastAsia="仿宋_GB2312" w:cs="仿宋_GB2312"/>
          <w:b w:val="0"/>
          <w:bCs w:val="0"/>
          <w:spacing w:val="-4"/>
          <w:sz w:val="32"/>
          <w:szCs w:val="32"/>
          <w:lang w:val="en-US" w:eastAsia="zh-CN"/>
        </w:rPr>
        <w:t>内容包括：1、我局B控中心五楼线路老化，在2022年进行了改造并完工，因疫情原因未能验收支付，申请1.95万元进行支付；2、因位于伊宁市解放路121号原办公楼于1997年竣工使用，目前已使用了24年，共计12层，该楼产权由五家单位拥有，我局拥有六楼产权，面积844.29平方米，因房屋使用年限长，多年失修，为避免造成安全事故，消防部门检查要求对其公共消防设施进行整改，我局需分担一层公共消防设施、电梯等改造费用5.12万元；3、为保障伊犁州监测中心做好基础硬件设施的安全运行及保管，我局在2022年签订库房租赁合同，用于存放无线电设备，需3.1万元支付租赁费；4、为保障伊犁州监测中心正常开展业务，使全部监测节点的无线电监测业务稳妥进行，更换B控中心控制客户端3台、购置可搬移站监测接收天线1套，购置B控中心工业级安防监控显示屏1台，以上三项需预算4.50万元；5、为解决伊犁州无线电监测覆盖率和提高监测精细化程度，租赁放置监测节点设备用房一套，期限2年，需预算3.20万元。</w:t>
      </w:r>
    </w:p>
    <w:p w14:paraId="4A305107">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项目实施情况</w:t>
      </w:r>
      <w:r>
        <w:rPr>
          <w:rFonts w:hint="eastAsia" w:ascii="仿宋_GB2312" w:hAnsi="仿宋_GB2312" w:eastAsia="仿宋_GB2312" w:cs="仿宋_GB2312"/>
          <w:sz w:val="32"/>
          <w:szCs w:val="32"/>
        </w:rPr>
        <w:t>：</w:t>
      </w:r>
      <w:r>
        <w:rPr>
          <w:rStyle w:val="17"/>
          <w:rFonts w:hint="eastAsia" w:ascii="仿宋_GB2312" w:hAnsi="仿宋_GB2312" w:eastAsia="仿宋_GB2312" w:cs="仿宋_GB2312"/>
          <w:b w:val="0"/>
          <w:bCs w:val="0"/>
          <w:spacing w:val="-4"/>
          <w:sz w:val="32"/>
          <w:szCs w:val="32"/>
          <w:lang w:val="en-US" w:eastAsia="zh-CN"/>
        </w:rPr>
        <w:t>无线电资产运维及更新项目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目前已经完成</w:t>
      </w:r>
      <w:r>
        <w:rPr>
          <w:rFonts w:hint="eastAsia" w:ascii="仿宋_GB2312" w:hAnsi="仿宋_GB2312" w:eastAsia="仿宋_GB2312" w:cs="仿宋_GB2312"/>
          <w:sz w:val="32"/>
          <w:szCs w:val="32"/>
          <w:lang w:val="en-US" w:eastAsia="zh-CN"/>
        </w:rPr>
        <w:t>了年初实际</w:t>
      </w:r>
      <w:r>
        <w:rPr>
          <w:rFonts w:hint="eastAsia" w:ascii="仿宋_GB2312" w:hAnsi="仿宋_GB2312" w:eastAsia="仿宋_GB2312" w:cs="仿宋_GB2312"/>
          <w:sz w:val="32"/>
          <w:szCs w:val="32"/>
        </w:rPr>
        <w:t>设立的目标，</w:t>
      </w:r>
      <w:r>
        <w:rPr>
          <w:rFonts w:hint="eastAsia" w:ascii="仿宋_GB2312" w:hAnsi="仿宋_GB2312" w:eastAsia="仿宋_GB2312" w:cs="仿宋_GB2312"/>
          <w:sz w:val="32"/>
          <w:szCs w:val="32"/>
          <w:lang w:val="en-US" w:eastAsia="zh-CN"/>
        </w:rPr>
        <w:t>此</w:t>
      </w:r>
      <w:r>
        <w:rPr>
          <w:rFonts w:hint="eastAsia" w:ascii="仿宋_GB2312" w:hAnsi="仿宋_GB2312" w:eastAsia="仿宋_GB2312" w:cs="仿宋_GB2312"/>
          <w:sz w:val="32"/>
          <w:szCs w:val="32"/>
        </w:rPr>
        <w:t>项目在实施过程中严格按照目标设立的各阶段任务开展工作，在前期立项过程中严格把质量关，建立安全防护机制，保证项目实施各阶段安全顺利进行。</w:t>
      </w:r>
    </w:p>
    <w:p w14:paraId="0B306226">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141DC09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4CCC4A0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该项目年初预算数17.87万元，全年预算数17.87万元，该项目资金已全部落实到位，资金来源为</w:t>
      </w:r>
      <w:r>
        <w:rPr>
          <w:rFonts w:hint="eastAsia" w:ascii="仿宋_GB2312" w:hAnsi="仿宋_GB2312" w:eastAsia="仿宋_GB2312" w:cs="仿宋_GB2312"/>
          <w:color w:val="000000"/>
          <w:sz w:val="32"/>
          <w:szCs w:val="32"/>
          <w:highlight w:val="none"/>
          <w:lang w:val="en-US" w:eastAsia="zh-CN"/>
        </w:rPr>
        <w:t>非财政拨款</w:t>
      </w:r>
      <w:r>
        <w:rPr>
          <w:rFonts w:hint="eastAsia" w:ascii="仿宋_GB2312" w:hAnsi="仿宋_GB2312" w:eastAsia="仿宋_GB2312" w:cs="仿宋_GB2312"/>
          <w:sz w:val="32"/>
          <w:szCs w:val="32"/>
          <w:highlight w:val="none"/>
          <w:lang w:val="en-US" w:eastAsia="zh-CN"/>
        </w:rPr>
        <w:t>结余</w:t>
      </w:r>
      <w:r>
        <w:rPr>
          <w:rFonts w:hint="eastAsia" w:ascii="仿宋_GB2312" w:hAnsi="仿宋_GB2312" w:eastAsia="仿宋_GB2312" w:cs="仿宋_GB2312"/>
          <w:color w:val="000000"/>
          <w:sz w:val="32"/>
          <w:szCs w:val="32"/>
          <w:highlight w:val="none"/>
          <w:lang w:val="en-US" w:eastAsia="zh-CN"/>
        </w:rPr>
        <w:t>事业基金。</w:t>
      </w:r>
    </w:p>
    <w:p w14:paraId="707EFD9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340FFF8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该项目年初预算数17.87万元，全年预算数17.87万元，全年执行数11.18万元，预算执行率为62.56%，主要用于：</w:t>
      </w:r>
      <w:r>
        <w:rPr>
          <w:rStyle w:val="17"/>
          <w:rFonts w:hint="eastAsia" w:ascii="仿宋_GB2312" w:hAnsi="仿宋_GB2312" w:eastAsia="仿宋_GB2312" w:cs="仿宋_GB2312"/>
          <w:b w:val="0"/>
          <w:bCs w:val="0"/>
          <w:spacing w:val="-4"/>
          <w:sz w:val="32"/>
          <w:szCs w:val="32"/>
          <w:highlight w:val="none"/>
          <w:lang w:val="en-US" w:eastAsia="zh-CN"/>
        </w:rPr>
        <w:t>B控中心五楼线路改造</w:t>
      </w:r>
      <w:r>
        <w:rPr>
          <w:rFonts w:hint="eastAsia" w:ascii="仿宋_GB2312" w:hAnsi="仿宋_GB2312" w:eastAsia="仿宋_GB2312" w:cs="仿宋_GB2312"/>
          <w:color w:val="auto"/>
          <w:sz w:val="32"/>
          <w:szCs w:val="32"/>
          <w:highlight w:val="none"/>
          <w:lang w:val="en-US" w:eastAsia="zh-CN"/>
        </w:rPr>
        <w:t>支出、</w:t>
      </w:r>
      <w:r>
        <w:rPr>
          <w:rStyle w:val="17"/>
          <w:rFonts w:hint="eastAsia" w:ascii="仿宋_GB2312" w:hAnsi="仿宋_GB2312" w:eastAsia="仿宋_GB2312" w:cs="仿宋_GB2312"/>
          <w:b w:val="0"/>
          <w:bCs w:val="0"/>
          <w:spacing w:val="-4"/>
          <w:sz w:val="32"/>
          <w:szCs w:val="32"/>
          <w:highlight w:val="none"/>
          <w:lang w:val="en-US" w:eastAsia="zh-CN"/>
        </w:rPr>
        <w:t>伊宁市解放路121号原办公楼电梯改造</w:t>
      </w:r>
      <w:r>
        <w:rPr>
          <w:rFonts w:hint="eastAsia" w:ascii="仿宋_GB2312" w:hAnsi="仿宋_GB2312" w:eastAsia="仿宋_GB2312" w:cs="仿宋_GB2312"/>
          <w:color w:val="auto"/>
          <w:sz w:val="32"/>
          <w:szCs w:val="32"/>
          <w:highlight w:val="none"/>
          <w:lang w:val="en-US" w:eastAsia="zh-CN"/>
        </w:rPr>
        <w:t>支出、</w:t>
      </w:r>
      <w:r>
        <w:rPr>
          <w:rStyle w:val="17"/>
          <w:rFonts w:hint="eastAsia" w:ascii="仿宋_GB2312" w:hAnsi="仿宋_GB2312" w:eastAsia="仿宋_GB2312" w:cs="仿宋_GB2312"/>
          <w:b w:val="0"/>
          <w:bCs w:val="0"/>
          <w:spacing w:val="-4"/>
          <w:sz w:val="32"/>
          <w:szCs w:val="32"/>
          <w:highlight w:val="none"/>
          <w:lang w:val="en-US" w:eastAsia="zh-CN"/>
        </w:rPr>
        <w:t>更换B控中心控制客户端</w:t>
      </w:r>
      <w:r>
        <w:rPr>
          <w:rFonts w:hint="eastAsia" w:ascii="仿宋_GB2312" w:hAnsi="仿宋_GB2312" w:eastAsia="仿宋_GB2312" w:cs="仿宋_GB2312"/>
          <w:color w:val="auto"/>
          <w:sz w:val="32"/>
          <w:szCs w:val="32"/>
          <w:highlight w:val="none"/>
          <w:lang w:val="en-US" w:eastAsia="zh-CN"/>
        </w:rPr>
        <w:t>支出、</w:t>
      </w:r>
      <w:r>
        <w:rPr>
          <w:rStyle w:val="17"/>
          <w:rFonts w:hint="eastAsia" w:ascii="仿宋_GB2312" w:hAnsi="仿宋_GB2312" w:eastAsia="仿宋_GB2312" w:cs="仿宋_GB2312"/>
          <w:b w:val="0"/>
          <w:bCs w:val="0"/>
          <w:spacing w:val="-4"/>
          <w:sz w:val="32"/>
          <w:szCs w:val="32"/>
          <w:highlight w:val="none"/>
          <w:lang w:val="en-US" w:eastAsia="zh-CN"/>
        </w:rPr>
        <w:t>存放无线电设备库房租赁支出、购置固定无线电监测站安防监控显示屏支出、购置可搬移站监测接收天线支出</w:t>
      </w:r>
      <w:r>
        <w:rPr>
          <w:rFonts w:hint="eastAsia" w:ascii="仿宋_GB2312" w:hAnsi="仿宋_GB2312" w:eastAsia="仿宋_GB2312" w:cs="仿宋_GB2312"/>
          <w:sz w:val="32"/>
          <w:szCs w:val="32"/>
          <w:highlight w:val="none"/>
          <w:lang w:val="en-US" w:eastAsia="zh-CN"/>
        </w:rPr>
        <w:t>。</w:t>
      </w:r>
    </w:p>
    <w:p w14:paraId="136555AD">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A39EC98">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sz w:val="32"/>
          <w:szCs w:val="32"/>
        </w:rPr>
        <w:t>总体目标</w:t>
      </w:r>
    </w:p>
    <w:p w14:paraId="33D9E3B2">
      <w:pPr>
        <w:pageBreakBefore w:val="0"/>
        <w:kinsoku/>
        <w:wordWrap/>
        <w:overflowPunct/>
        <w:topLinePunct w:val="0"/>
        <w:autoSpaceDE/>
        <w:autoSpaceDN/>
        <w:bidi w:val="0"/>
        <w:adjustRightInd/>
        <w:snapToGrid/>
        <w:spacing w:line="560" w:lineRule="exact"/>
        <w:ind w:firstLine="624" w:firstLineChars="200"/>
        <w:textAlignment w:val="auto"/>
        <w:rPr>
          <w:rStyle w:val="17"/>
          <w:rFonts w:hint="eastAsia" w:ascii="仿宋_GB2312" w:hAnsi="仿宋_GB2312" w:eastAsia="仿宋_GB2312" w:cs="仿宋_GB2312"/>
          <w:b w:val="0"/>
          <w:bCs/>
          <w:spacing w:val="-4"/>
          <w:sz w:val="32"/>
          <w:szCs w:val="32"/>
          <w:highlight w:val="none"/>
        </w:rPr>
      </w:pPr>
      <w:r>
        <w:rPr>
          <w:rStyle w:val="17"/>
          <w:rFonts w:hint="eastAsia" w:ascii="仿宋_GB2312" w:hAnsi="仿宋_GB2312" w:eastAsia="仿宋_GB2312" w:cs="仿宋_GB2312"/>
          <w:b w:val="0"/>
          <w:bCs/>
          <w:spacing w:val="-4"/>
          <w:sz w:val="32"/>
          <w:szCs w:val="32"/>
          <w:highlight w:val="none"/>
        </w:rPr>
        <w:t>一是对原办公楼的公共消防设施和电梯进行维修维护，为保证国有资产增值保值、</w:t>
      </w:r>
      <w:r>
        <w:rPr>
          <w:rStyle w:val="17"/>
          <w:rFonts w:hint="eastAsia" w:ascii="仿宋_GB2312" w:hAnsi="仿宋_GB2312" w:eastAsia="仿宋_GB2312" w:cs="仿宋_GB2312"/>
          <w:b w:val="0"/>
          <w:bCs/>
          <w:spacing w:val="-4"/>
          <w:sz w:val="32"/>
          <w:szCs w:val="32"/>
          <w:highlight w:val="none"/>
          <w:lang w:val="en-US" w:eastAsia="zh-CN"/>
        </w:rPr>
        <w:t>避免</w:t>
      </w:r>
      <w:r>
        <w:rPr>
          <w:rStyle w:val="17"/>
          <w:rFonts w:hint="eastAsia" w:ascii="仿宋_GB2312" w:hAnsi="仿宋_GB2312" w:eastAsia="仿宋_GB2312" w:cs="仿宋_GB2312"/>
          <w:b w:val="0"/>
          <w:bCs/>
          <w:spacing w:val="-4"/>
          <w:sz w:val="32"/>
          <w:szCs w:val="32"/>
          <w:highlight w:val="none"/>
        </w:rPr>
        <w:t>造成安全事故。</w:t>
      </w:r>
    </w:p>
    <w:p w14:paraId="5A5F8A28">
      <w:pPr>
        <w:pageBreakBefore w:val="0"/>
        <w:kinsoku/>
        <w:wordWrap/>
        <w:overflowPunct/>
        <w:topLinePunct w:val="0"/>
        <w:autoSpaceDE/>
        <w:autoSpaceDN/>
        <w:bidi w:val="0"/>
        <w:adjustRightInd/>
        <w:snapToGrid/>
        <w:spacing w:line="560" w:lineRule="exact"/>
        <w:ind w:firstLine="624" w:firstLineChars="200"/>
        <w:textAlignment w:val="auto"/>
        <w:rPr>
          <w:rStyle w:val="17"/>
          <w:rFonts w:hint="eastAsia" w:ascii="仿宋_GB2312" w:hAnsi="仿宋_GB2312" w:eastAsia="仿宋_GB2312" w:cs="仿宋_GB2312"/>
          <w:b w:val="0"/>
          <w:bCs/>
          <w:spacing w:val="-4"/>
          <w:sz w:val="32"/>
          <w:szCs w:val="32"/>
          <w:highlight w:val="none"/>
        </w:rPr>
      </w:pPr>
      <w:r>
        <w:rPr>
          <w:rStyle w:val="17"/>
          <w:rFonts w:hint="eastAsia" w:ascii="仿宋_GB2312" w:hAnsi="仿宋_GB2312" w:eastAsia="仿宋_GB2312" w:cs="仿宋_GB2312"/>
          <w:b w:val="0"/>
          <w:bCs/>
          <w:spacing w:val="-4"/>
          <w:sz w:val="32"/>
          <w:szCs w:val="32"/>
          <w:highlight w:val="none"/>
        </w:rPr>
        <w:t>二是利用固定站和移支监测设备加强不明信号查找、监测月报、电磁环境测试、无线电设备检测等监、检工作。</w:t>
      </w:r>
    </w:p>
    <w:p w14:paraId="48A9BA74">
      <w:pPr>
        <w:pageBreakBefore w:val="0"/>
        <w:kinsoku/>
        <w:wordWrap/>
        <w:overflowPunct/>
        <w:topLinePunct w:val="0"/>
        <w:autoSpaceDE/>
        <w:autoSpaceDN/>
        <w:bidi w:val="0"/>
        <w:adjustRightInd/>
        <w:snapToGrid/>
        <w:spacing w:line="560" w:lineRule="exact"/>
        <w:ind w:firstLine="624" w:firstLineChars="200"/>
        <w:textAlignment w:val="auto"/>
        <w:rPr>
          <w:rStyle w:val="17"/>
          <w:rFonts w:hint="eastAsia" w:ascii="仿宋_GB2312" w:hAnsi="仿宋_GB2312" w:eastAsia="仿宋_GB2312" w:cs="仿宋_GB2312"/>
          <w:b w:val="0"/>
          <w:bCs/>
          <w:spacing w:val="-4"/>
          <w:sz w:val="32"/>
          <w:szCs w:val="32"/>
          <w:highlight w:val="none"/>
        </w:rPr>
      </w:pPr>
      <w:r>
        <w:rPr>
          <w:rStyle w:val="17"/>
          <w:rFonts w:hint="eastAsia" w:ascii="仿宋_GB2312" w:hAnsi="仿宋_GB2312" w:eastAsia="仿宋_GB2312" w:cs="仿宋_GB2312"/>
          <w:b w:val="0"/>
          <w:bCs/>
          <w:spacing w:val="-4"/>
          <w:sz w:val="32"/>
          <w:szCs w:val="32"/>
          <w:highlight w:val="none"/>
        </w:rPr>
        <w:t>三是合理使用运维和专项资金，稳步推进无线电设备设施运行维护、重大活动无线电安全保障、航空及铁路无线电频率保护以及无线电干扰查处、无线电频率协调、考试保障等各项无线电专项监管工作的开展，助力经济高质量发展，维护社会稳定和长治久安。</w:t>
      </w:r>
    </w:p>
    <w:p w14:paraId="61834EA5">
      <w:pPr>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阶段性目标</w:t>
      </w:r>
    </w:p>
    <w:p w14:paraId="01D64501">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w:t>
      </w:r>
      <w:r>
        <w:rPr>
          <w:rFonts w:hint="eastAsia" w:ascii="仿宋_GB2312" w:hAnsi="仿宋_GB2312" w:eastAsia="仿宋_GB2312" w:cs="仿宋_GB2312"/>
          <w:sz w:val="32"/>
          <w:szCs w:val="32"/>
          <w:lang w:val="en-US" w:eastAsia="zh-CN"/>
        </w:rPr>
        <w:t>成立项目执行小组，首先</w:t>
      </w:r>
      <w:r>
        <w:rPr>
          <w:rFonts w:hint="eastAsia" w:ascii="仿宋_GB2312" w:hAnsi="仿宋_GB2312" w:eastAsia="仿宋_GB2312" w:cs="仿宋_GB2312"/>
          <w:sz w:val="32"/>
          <w:szCs w:val="32"/>
        </w:rPr>
        <w:t>开展前期调研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其次明确项目绩效目标，设</w:t>
      </w:r>
      <w:r>
        <w:rPr>
          <w:rFonts w:hint="eastAsia" w:ascii="仿宋_GB2312" w:hAnsi="仿宋_GB2312" w:eastAsia="仿宋_GB2312" w:cs="仿宋_GB2312"/>
          <w:sz w:val="32"/>
          <w:szCs w:val="32"/>
          <w:lang w:val="en-US" w:eastAsia="zh-CN"/>
        </w:rPr>
        <w:t>定</w:t>
      </w:r>
      <w:r>
        <w:rPr>
          <w:rFonts w:hint="eastAsia" w:ascii="仿宋_GB2312" w:hAnsi="仿宋_GB2312" w:eastAsia="仿宋_GB2312" w:cs="仿宋_GB2312"/>
          <w:sz w:val="32"/>
          <w:szCs w:val="32"/>
        </w:rPr>
        <w:t>绩效评价指标体系并确定绩效评价方法；接着确定现场和非现场评价范围；最后通过制定项目实施方案，经项目负责人审核通过后，有序开展后续工作。</w:t>
      </w:r>
    </w:p>
    <w:p w14:paraId="41368B92">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 xml:space="preserve">年 </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 xml:space="preserve"> 月 </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 xml:space="preserve"> 日</w:t>
      </w:r>
      <w:r>
        <w:rPr>
          <w:rFonts w:hint="eastAsia" w:ascii="仿宋_GB2312" w:hAnsi="仿宋_GB2312" w:eastAsia="仿宋_GB2312" w:cs="仿宋_GB2312"/>
          <w:sz w:val="32"/>
          <w:szCs w:val="32"/>
          <w:lang w:val="en-US" w:eastAsia="zh-CN"/>
        </w:rPr>
        <w:t>- 11</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eastAsia="zh-CN"/>
        </w:rPr>
        <w:t>日</w:t>
      </w:r>
      <w:r>
        <w:rPr>
          <w:rFonts w:hint="eastAsia" w:ascii="仿宋_GB2312" w:hAnsi="仿宋_GB2312" w:eastAsia="仿宋_GB2312" w:cs="仿宋_GB2312"/>
          <w:sz w:val="32"/>
          <w:szCs w:val="32"/>
          <w:lang w:val="en-US" w:eastAsia="zh-CN"/>
        </w:rPr>
        <w:t>期间</w:t>
      </w:r>
      <w:r>
        <w:rPr>
          <w:rFonts w:hint="eastAsia" w:ascii="仿宋_GB2312" w:hAnsi="仿宋_GB2312" w:eastAsia="仿宋_GB2312" w:cs="仿宋_GB2312"/>
          <w:sz w:val="32"/>
          <w:szCs w:val="32"/>
          <w:lang w:eastAsia="zh-CN"/>
        </w:rPr>
        <w:t>，安排专人</w:t>
      </w:r>
      <w:r>
        <w:rPr>
          <w:rFonts w:hint="eastAsia" w:ascii="仿宋_GB2312" w:hAnsi="仿宋_GB2312" w:eastAsia="仿宋_GB2312" w:cs="仿宋_GB2312"/>
          <w:sz w:val="32"/>
          <w:szCs w:val="32"/>
        </w:rPr>
        <w:t>根据项目要求</w:t>
      </w:r>
      <w:r>
        <w:rPr>
          <w:rFonts w:hint="eastAsia" w:ascii="仿宋_GB2312" w:hAnsi="仿宋_GB2312" w:eastAsia="仿宋_GB2312" w:cs="仿宋_GB2312"/>
          <w:sz w:val="32"/>
          <w:szCs w:val="32"/>
          <w:lang w:eastAsia="zh-CN"/>
        </w:rPr>
        <w:t>组织实施项目前期各种手续，</w:t>
      </w:r>
      <w:r>
        <w:rPr>
          <w:rFonts w:hint="eastAsia" w:ascii="仿宋_GB2312" w:hAnsi="仿宋_GB2312" w:eastAsia="仿宋_GB2312" w:cs="仿宋_GB2312"/>
          <w:sz w:val="32"/>
          <w:szCs w:val="32"/>
        </w:rPr>
        <w:t>项目责任人按照项目实施方案要求逐一进行项目部署安排，制定详细工作计划表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准备政府采购计划申报材料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完成政府采购意向公开，确保信息透明、合规。</w:t>
      </w:r>
    </w:p>
    <w:p w14:paraId="571F4E15">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333333"/>
          <w:sz w:val="32"/>
          <w:szCs w:val="32"/>
          <w:highlight w:val="none"/>
          <w:lang w:val="en-US" w:eastAsia="zh-CN" w:bidi="ar"/>
        </w:rPr>
      </w:pPr>
      <w:r>
        <w:rPr>
          <w:rFonts w:hint="eastAsia" w:ascii="仿宋_GB2312" w:hAnsi="仿宋_GB2312" w:eastAsia="仿宋_GB2312" w:cs="仿宋_GB2312"/>
          <w:sz w:val="32"/>
          <w:szCs w:val="32"/>
          <w:highlight w:val="none"/>
          <w:lang w:val="en-US" w:eastAsia="zh-CN"/>
        </w:rPr>
        <w:t>（3）执行阶段：</w:t>
      </w:r>
      <w:r>
        <w:rPr>
          <w:rFonts w:hint="eastAsia" w:ascii="仿宋_GB2312" w:hAnsi="仿宋_GB2312" w:eastAsia="仿宋_GB2312" w:cs="仿宋_GB2312"/>
          <w:color w:val="333333"/>
          <w:sz w:val="32"/>
          <w:szCs w:val="32"/>
          <w:highlight w:val="none"/>
          <w:lang w:val="en-US" w:eastAsia="zh-CN" w:bidi="ar"/>
        </w:rPr>
        <w:t>服务供应商按合同约定正式入驻单位开展工作。对项目状况进行全面摸底调研，依据调研结果，实施项目开展。</w:t>
      </w:r>
    </w:p>
    <w:p w14:paraId="36A6D202">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收尾阶段：服务供应商依据既定工作流程与质量标准，全面完成业务工作，项目执行成员，针对项目成果开展多轮严谨细致的复核工作。经审核通过后，正式确定项目成果，实现绩效目标，为单位业务工作开展打造安全、高效的服务环境。</w:t>
      </w:r>
    </w:p>
    <w:p w14:paraId="760E22A5">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2A111576">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609A9D62">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0ADE2944">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3B9456B">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53CD330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789C39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9AD2CD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C70567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22C942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738CFD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通过对项目预算执行情况及各项绩效目标达成程度的系统性分析，全面、客观地评估项目在预定周期内的实施效果，包括经济效益、社会效益等多维度指标，为项目后续的改进与优化提供科学依据。</w:t>
      </w:r>
    </w:p>
    <w:p w14:paraId="443B76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89E6B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DE23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（3）强化项目管理责任</w:t>
      </w:r>
    </w:p>
    <w:p w14:paraId="673108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23574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（4）为决策提供支持</w:t>
      </w:r>
    </w:p>
    <w:p w14:paraId="27AD33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20C8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（5）促进项目持续改进</w:t>
      </w:r>
    </w:p>
    <w:p w14:paraId="7AA3EE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5075B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1E271F1">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sz w:val="32"/>
          <w:szCs w:val="32"/>
        </w:rPr>
        <w:t>绩效评价的对象</w:t>
      </w:r>
    </w:p>
    <w:p w14:paraId="62C84969">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本项目预算绩效评价报告的评价对象是</w:t>
      </w:r>
      <w:r>
        <w:rPr>
          <w:rFonts w:hint="eastAsia" w:ascii="仿宋_GB2312" w:hAnsi="仿宋_GB2312" w:eastAsia="仿宋_GB2312" w:cs="仿宋_GB2312"/>
          <w:b w:val="0"/>
          <w:bCs w:val="0"/>
          <w:w w:val="80"/>
          <w:kern w:val="0"/>
          <w:sz w:val="32"/>
          <w:szCs w:val="32"/>
          <w:highlight w:val="none"/>
          <w:u w:val="none"/>
        </w:rPr>
        <w:t>无线电资产运维及更新项目</w:t>
      </w:r>
      <w:r>
        <w:rPr>
          <w:rFonts w:hint="eastAsia" w:ascii="仿宋_GB2312" w:hAnsi="仿宋_GB2312" w:eastAsia="仿宋_GB2312" w:cs="仿宋_GB2312"/>
          <w:b w:val="0"/>
          <w:bCs w:val="0"/>
          <w:sz w:val="32"/>
          <w:szCs w:val="32"/>
          <w:highlight w:val="none"/>
        </w:rPr>
        <w:t>及其预算执行情况。该项目由</w:t>
      </w:r>
      <w:r>
        <w:rPr>
          <w:rFonts w:hint="eastAsia" w:ascii="仿宋_GB2312" w:hAnsi="仿宋_GB2312" w:eastAsia="仿宋_GB2312" w:cs="仿宋_GB2312"/>
          <w:b w:val="0"/>
          <w:bCs w:val="0"/>
          <w:kern w:val="0"/>
          <w:sz w:val="32"/>
          <w:szCs w:val="32"/>
          <w:highlight w:val="none"/>
          <w:u w:val="none"/>
          <w:lang w:val="en-US" w:eastAsia="zh-CN"/>
        </w:rPr>
        <w:t>伊犁哈萨克自治州无线电管理局</w:t>
      </w:r>
      <w:r>
        <w:rPr>
          <w:rFonts w:hint="eastAsia" w:ascii="仿宋_GB2312" w:hAnsi="仿宋_GB2312" w:eastAsia="仿宋_GB2312" w:cs="仿宋_GB2312"/>
          <w:b w:val="0"/>
          <w:bCs w:val="0"/>
          <w:sz w:val="32"/>
          <w:szCs w:val="32"/>
          <w:highlight w:val="none"/>
        </w:rPr>
        <w:t>负责实施，旨在为保证国有资产增值保值、</w:t>
      </w:r>
      <w:r>
        <w:rPr>
          <w:rFonts w:hint="eastAsia" w:ascii="仿宋_GB2312" w:hAnsi="仿宋_GB2312" w:eastAsia="仿宋_GB2312" w:cs="仿宋_GB2312"/>
          <w:b w:val="0"/>
          <w:bCs w:val="0"/>
          <w:sz w:val="32"/>
          <w:szCs w:val="32"/>
          <w:highlight w:val="none"/>
          <w:lang w:val="en-US" w:eastAsia="zh-CN"/>
        </w:rPr>
        <w:t>避</w:t>
      </w:r>
      <w:r>
        <w:rPr>
          <w:rFonts w:hint="eastAsia" w:ascii="仿宋_GB2312" w:hAnsi="仿宋_GB2312" w:eastAsia="仿宋_GB2312" w:cs="仿宋_GB2312"/>
          <w:b w:val="0"/>
          <w:bCs w:val="0"/>
          <w:sz w:val="32"/>
          <w:szCs w:val="32"/>
          <w:highlight w:val="none"/>
        </w:rPr>
        <w:t>免造成安全事故</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对原办公楼的公共消防设施和电梯进行维修维护</w:t>
      </w:r>
      <w:r>
        <w:rPr>
          <w:rFonts w:hint="eastAsia" w:ascii="仿宋_GB2312" w:hAnsi="仿宋_GB2312" w:eastAsia="仿宋_GB2312" w:cs="仿宋_GB2312"/>
          <w:b w:val="0"/>
          <w:bCs w:val="0"/>
          <w:sz w:val="32"/>
          <w:szCs w:val="32"/>
          <w:highlight w:val="none"/>
          <w:lang w:val="en-US" w:eastAsia="zh-CN"/>
        </w:rPr>
        <w:t>；</w:t>
      </w:r>
    </w:p>
    <w:p w14:paraId="0824F098">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highlight w:val="none"/>
        </w:rPr>
        <w:t>利用固定站和移支监测设备加强不明信号查找、监测月报、电磁环境测试、无线电设备检测等监、检工作</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稳步推进无线电设备设施运行维护、重大活动无线电安全保障、航空及铁路无线电频率保护以及无线电干扰查处、无线电频率协调、考试保障等各项无线电专项监管工作的开展，助力经济高质量发展，维护社会稳定和长治久安。项目预算涵盖从</w:t>
      </w:r>
      <w:r>
        <w:rPr>
          <w:rFonts w:hint="eastAsia" w:ascii="仿宋_GB2312" w:hAnsi="仿宋_GB2312" w:eastAsia="仿宋_GB2312" w:cs="仿宋_GB2312"/>
          <w:b w:val="0"/>
          <w:bCs w:val="0"/>
          <w:sz w:val="32"/>
          <w:szCs w:val="32"/>
          <w:highlight w:val="none"/>
          <w:lang w:val="en-US" w:eastAsia="zh-CN"/>
        </w:rPr>
        <w:t>2024年1月10日</w:t>
      </w:r>
      <w:r>
        <w:rPr>
          <w:rFonts w:hint="eastAsia" w:ascii="仿宋_GB2312" w:hAnsi="仿宋_GB2312" w:eastAsia="仿宋_GB2312" w:cs="仿宋_GB2312"/>
          <w:b w:val="0"/>
          <w:bCs w:val="0"/>
          <w:sz w:val="32"/>
          <w:szCs w:val="32"/>
          <w:highlight w:val="none"/>
        </w:rPr>
        <w:t>至</w:t>
      </w:r>
      <w:r>
        <w:rPr>
          <w:rFonts w:hint="eastAsia" w:ascii="仿宋_GB2312" w:hAnsi="仿宋_GB2312" w:eastAsia="仿宋_GB2312" w:cs="仿宋_GB2312"/>
          <w:b w:val="0"/>
          <w:bCs w:val="0"/>
          <w:sz w:val="32"/>
          <w:szCs w:val="32"/>
          <w:highlight w:val="none"/>
          <w:lang w:val="en-US" w:eastAsia="zh-CN"/>
        </w:rPr>
        <w:t>2024年11月30日</w:t>
      </w:r>
      <w:r>
        <w:rPr>
          <w:rFonts w:hint="eastAsia" w:ascii="仿宋_GB2312" w:hAnsi="仿宋_GB2312" w:eastAsia="仿宋_GB2312" w:cs="仿宋_GB2312"/>
          <w:b w:val="0"/>
          <w:bCs w:val="0"/>
          <w:sz w:val="32"/>
          <w:szCs w:val="32"/>
          <w:highlight w:val="none"/>
        </w:rPr>
        <w:t>的全部资金投入与支出，涉及资金总额为</w:t>
      </w:r>
      <w:r>
        <w:rPr>
          <w:rFonts w:hint="eastAsia" w:ascii="仿宋_GB2312" w:hAnsi="仿宋_GB2312" w:eastAsia="仿宋_GB2312" w:cs="仿宋_GB2312"/>
          <w:b w:val="0"/>
          <w:bCs w:val="0"/>
          <w:sz w:val="32"/>
          <w:szCs w:val="32"/>
          <w:highlight w:val="none"/>
          <w:lang w:val="en-US" w:eastAsia="zh-CN"/>
        </w:rPr>
        <w:t>11.81万</w:t>
      </w:r>
      <w:r>
        <w:rPr>
          <w:rFonts w:hint="eastAsia" w:ascii="仿宋_GB2312" w:hAnsi="仿宋_GB2312" w:eastAsia="仿宋_GB2312" w:cs="仿宋_GB2312"/>
          <w:b w:val="0"/>
          <w:bCs w:val="0"/>
          <w:sz w:val="32"/>
          <w:szCs w:val="32"/>
          <w:highlight w:val="none"/>
        </w:rPr>
        <w:t>元。</w:t>
      </w:r>
    </w:p>
    <w:p w14:paraId="28BBF7AC">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绩效评价的范围</w:t>
      </w:r>
    </w:p>
    <w:p w14:paraId="4791DB8C">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7665EBEB">
      <w:pPr>
        <w:pStyle w:val="11"/>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34A0EF9">
      <w:pPr>
        <w:pStyle w:val="11"/>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611EE1ED">
      <w:pPr>
        <w:pStyle w:val="11"/>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6B9C1962">
      <w:pPr>
        <w:pStyle w:val="11"/>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经济等</w:t>
      </w:r>
      <w:r>
        <w:rPr>
          <w:rFonts w:hint="eastAsia" w:ascii="仿宋_GB2312" w:hAnsi="仿宋_GB2312" w:eastAsia="仿宋_GB2312" w:cs="仿宋_GB2312"/>
          <w:b w:val="0"/>
          <w:bCs w:val="0"/>
          <w:sz w:val="32"/>
          <w:szCs w:val="32"/>
          <w:highlight w:val="none"/>
        </w:rPr>
        <w:t>影响：考察项目对社会、经济等方面的综合影响。</w:t>
      </w:r>
    </w:p>
    <w:p w14:paraId="5BAE1AC8">
      <w:pPr>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3F774A1D">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sz w:val="32"/>
          <w:szCs w:val="32"/>
        </w:rPr>
        <w:t>绩效评价原则</w:t>
      </w:r>
    </w:p>
    <w:p w14:paraId="21E8A166">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6500DCE9">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（1）科学公正。绩效评价应当运用科学合理的方法，按照规范的程序，对项目绩效进行客观、公正的反映。</w:t>
      </w:r>
    </w:p>
    <w:p w14:paraId="4188940E">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14:paraId="75A6BFD2">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14:paraId="22CB9B79">
      <w:pPr>
        <w:pStyle w:val="11"/>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（4）公开透明。绩效评价结果应依法依规公开，并自觉接受社会监督。</w:t>
      </w:r>
    </w:p>
    <w:p w14:paraId="14F7CCC9">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val="0"/>
          <w:bCs w:val="0"/>
          <w:sz w:val="32"/>
          <w:szCs w:val="32"/>
        </w:rPr>
        <w:t>评价指标体系</w:t>
      </w:r>
    </w:p>
    <w:p w14:paraId="6DB40FCE">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3A55D8F7">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00FB2734">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97766C3">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0C18C6AE">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CC71A2A">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17B25B08">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4E47E2A">
      <w:pPr>
        <w:pStyle w:val="11"/>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eastAsia" w:ascii="仿宋_GB2312" w:hAnsi="仿宋_GB2312" w:eastAsia="仿宋_GB2312" w:cs="仿宋_GB2312"/>
          <w:b w:val="0"/>
          <w:bCs w:val="0"/>
          <w:color w:val="000000"/>
          <w:spacing w:val="17"/>
          <w:kern w:val="2"/>
          <w:sz w:val="32"/>
          <w:szCs w:val="32"/>
        </w:rPr>
      </w:pPr>
      <w:r>
        <w:rPr>
          <w:rFonts w:hint="eastAsia" w:ascii="仿宋_GB2312" w:hAnsi="仿宋_GB2312" w:eastAsia="仿宋_GB2312" w:cs="仿宋_GB2312"/>
          <w:b w:val="0"/>
          <w:bCs w:val="0"/>
          <w:color w:val="000000"/>
          <w:spacing w:val="17"/>
          <w:kern w:val="2"/>
          <w:sz w:val="32"/>
          <w:szCs w:val="32"/>
        </w:rPr>
        <w:t>绩效评价总分值100分，根据综合评分结果，90（含）-100分为优、80（含）-90分为良、60（含）-80分为中、60分以下为差。</w:t>
      </w:r>
    </w:p>
    <w:p w14:paraId="631E9033">
      <w:pPr>
        <w:pStyle w:val="11"/>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eastAsia" w:ascii="仿宋_GB2312" w:hAnsi="仿宋_GB2312" w:eastAsia="仿宋_GB2312" w:cs="仿宋_GB2312"/>
          <w:b w:val="0"/>
          <w:bCs w:val="0"/>
          <w:color w:val="000000"/>
          <w:spacing w:val="17"/>
          <w:sz w:val="32"/>
          <w:szCs w:val="32"/>
        </w:rPr>
      </w:pPr>
      <w:r>
        <w:rPr>
          <w:rFonts w:hint="eastAsia" w:ascii="仿宋_GB2312" w:hAnsi="仿宋_GB2312" w:eastAsia="仿宋_GB2312" w:cs="仿宋_GB2312"/>
          <w:b w:val="0"/>
          <w:bCs w:val="0"/>
          <w:color w:val="000000"/>
          <w:spacing w:val="17"/>
          <w:sz w:val="32"/>
          <w:szCs w:val="32"/>
        </w:rPr>
        <w:t>具体评价指标体系详情见附件1</w:t>
      </w:r>
    </w:p>
    <w:p w14:paraId="4C6AD3D1">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绩效评价方法</w:t>
      </w:r>
    </w:p>
    <w:p w14:paraId="531E7BEE">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FE2E08A">
      <w:pPr>
        <w:pageBreakBefore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因该项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目的性质和实施特点，该项目绩效评估方法</w:t>
      </w:r>
      <w:r>
        <w:rPr>
          <w:rFonts w:hint="eastAsia" w:ascii="仿宋_GB2312" w:hAnsi="仿宋_GB2312" w:eastAsia="仿宋_GB2312" w:cs="仿宋_GB2312"/>
          <w:color w:val="000000" w:themeColor="text1"/>
          <w:sz w:val="32"/>
          <w:szCs w:val="32"/>
          <w14:textFill>
            <w14:solidFill>
              <w14:schemeClr w14:val="tx1"/>
            </w14:solidFill>
          </w14:textFill>
        </w:rPr>
        <w:t>采用成本效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益</w:t>
      </w:r>
      <w:r>
        <w:rPr>
          <w:rFonts w:hint="eastAsia" w:ascii="仿宋_GB2312" w:hAnsi="仿宋_GB2312" w:eastAsia="仿宋_GB2312" w:cs="仿宋_GB2312"/>
          <w:color w:val="000000" w:themeColor="text1"/>
          <w:sz w:val="32"/>
          <w:szCs w:val="32"/>
          <w14:textFill>
            <w14:solidFill>
              <w14:schemeClr w14:val="tx1"/>
            </w14:solidFill>
          </w14:textFill>
        </w:rPr>
        <w:t>分析法，</w:t>
      </w:r>
      <w:r>
        <w:rPr>
          <w:rFonts w:hint="eastAsia" w:ascii="仿宋_GB2312" w:hAnsi="仿宋_GB2312" w:eastAsia="仿宋_GB2312" w:cs="仿宋_GB2312"/>
          <w:color w:val="000000" w:themeColor="text1"/>
          <w:kern w:val="0"/>
          <w:sz w:val="32"/>
          <w:szCs w:val="32"/>
          <w:u w:val="none" w:color="auto"/>
          <w:lang w:val="en-US" w:eastAsia="zh-CN"/>
          <w14:textFill>
            <w14:solidFill>
              <w14:schemeClr w14:val="tx1"/>
            </w14:solidFill>
          </w14:textFill>
        </w:rPr>
        <w:t>通过将项目的预算支出安排与预期效益进行对比，寻求以最小成本获取最大收益的投入方式。</w:t>
      </w:r>
      <w:r>
        <w:rPr>
          <w:rFonts w:hint="eastAsia" w:ascii="仿宋_GB2312" w:hAnsi="仿宋_GB2312" w:eastAsia="仿宋_GB2312" w:cs="仿宋_GB2312"/>
          <w:color w:val="000000" w:themeColor="text1"/>
          <w:sz w:val="32"/>
          <w:szCs w:val="32"/>
          <w14:textFill>
            <w14:solidFill>
              <w14:schemeClr w14:val="tx1"/>
            </w14:solidFill>
          </w14:textFill>
        </w:rPr>
        <w:t>成本效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益</w:t>
      </w:r>
      <w:r>
        <w:rPr>
          <w:rFonts w:hint="eastAsia" w:ascii="仿宋_GB2312" w:hAnsi="仿宋_GB2312" w:eastAsia="仿宋_GB2312" w:cs="仿宋_GB2312"/>
          <w:color w:val="000000" w:themeColor="text1"/>
          <w:sz w:val="32"/>
          <w:szCs w:val="32"/>
          <w14:textFill>
            <w14:solidFill>
              <w14:schemeClr w14:val="tx1"/>
            </w14:solidFill>
          </w14:textFill>
        </w:rPr>
        <w:t>分析法主要是分析效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益</w:t>
      </w:r>
      <w:r>
        <w:rPr>
          <w:rFonts w:hint="eastAsia" w:ascii="仿宋_GB2312" w:hAnsi="仿宋_GB2312" w:eastAsia="仿宋_GB2312" w:cs="仿宋_GB2312"/>
          <w:color w:val="000000" w:themeColor="text1"/>
          <w:sz w:val="32"/>
          <w:szCs w:val="32"/>
          <w14:textFill>
            <w14:solidFill>
              <w14:schemeClr w14:val="tx1"/>
            </w14:solidFill>
          </w14:textFill>
        </w:rPr>
        <w:t>的单位成本，即为获得一定的效用而必需耗费的成本，以及节约的成本，即分析净效益。若有功能或效益相同的多项方案，自然应选用单位成本最低者。</w:t>
      </w:r>
    </w:p>
    <w:p w14:paraId="7995E569">
      <w:pPr>
        <w:pStyle w:val="25"/>
        <w:pageBreakBefore w:val="0"/>
        <w:kinsoku/>
        <w:wordWrap/>
        <w:overflowPunct/>
        <w:topLinePunct w:val="0"/>
        <w:autoSpaceDE/>
        <w:autoSpaceDN/>
        <w:bidi w:val="0"/>
        <w:adjustRightInd/>
        <w:snapToGrid/>
        <w:spacing w:line="560" w:lineRule="exact"/>
        <w:ind w:left="425"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成本效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益</w:t>
      </w:r>
      <w:r>
        <w:rPr>
          <w:rFonts w:hint="eastAsia" w:ascii="仿宋_GB2312" w:hAnsi="仿宋_GB2312" w:eastAsia="仿宋_GB2312" w:cs="仿宋_GB2312"/>
          <w:color w:val="000000" w:themeColor="text1"/>
          <w:sz w:val="32"/>
          <w:szCs w:val="32"/>
          <w14:textFill>
            <w14:solidFill>
              <w14:schemeClr w14:val="tx1"/>
            </w14:solidFill>
          </w14:textFill>
        </w:rPr>
        <w:t>分析有三种情况：</w:t>
      </w:r>
    </w:p>
    <w:p w14:paraId="5CF39779">
      <w:pPr>
        <w:pStyle w:val="25"/>
        <w:pageBreakBefore w:val="0"/>
        <w:kinsoku/>
        <w:wordWrap/>
        <w:overflowPunct/>
        <w:topLinePunct w:val="0"/>
        <w:autoSpaceDE/>
        <w:autoSpaceDN/>
        <w:bidi w:val="0"/>
        <w:adjustRightInd/>
        <w:snapToGrid/>
        <w:spacing w:line="560" w:lineRule="exact"/>
        <w:ind w:left="425"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（1）当成本相同时，应选择效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益</w:t>
      </w:r>
      <w:r>
        <w:rPr>
          <w:rFonts w:hint="eastAsia" w:ascii="仿宋_GB2312" w:hAnsi="仿宋_GB2312" w:eastAsia="仿宋_GB2312" w:cs="仿宋_GB2312"/>
          <w:color w:val="000000" w:themeColor="text1"/>
          <w:sz w:val="32"/>
          <w:szCs w:val="32"/>
          <w14:textFill>
            <w14:solidFill>
              <w14:schemeClr w14:val="tx1"/>
            </w14:solidFill>
          </w14:textFill>
        </w:rPr>
        <w:t>高的方案；</w:t>
      </w:r>
    </w:p>
    <w:p w14:paraId="351FF93C">
      <w:pPr>
        <w:pStyle w:val="25"/>
        <w:pageBreakBefore w:val="0"/>
        <w:kinsoku/>
        <w:wordWrap/>
        <w:overflowPunct/>
        <w:topLinePunct w:val="0"/>
        <w:autoSpaceDE/>
        <w:autoSpaceDN/>
        <w:bidi w:val="0"/>
        <w:adjustRightInd/>
        <w:snapToGrid/>
        <w:spacing w:line="560" w:lineRule="exact"/>
        <w:ind w:left="425"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（2）当效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益</w:t>
      </w:r>
      <w:r>
        <w:rPr>
          <w:rFonts w:hint="eastAsia" w:ascii="仿宋_GB2312" w:hAnsi="仿宋_GB2312" w:eastAsia="仿宋_GB2312" w:cs="仿宋_GB2312"/>
          <w:color w:val="000000" w:themeColor="text1"/>
          <w:sz w:val="32"/>
          <w:szCs w:val="32"/>
          <w14:textFill>
            <w14:solidFill>
              <w14:schemeClr w14:val="tx1"/>
            </w14:solidFill>
          </w14:textFill>
        </w:rPr>
        <w:t>相同时，应选择成本低的方案；</w:t>
      </w:r>
    </w:p>
    <w:p w14:paraId="67FD15D4">
      <w:pPr>
        <w:pStyle w:val="25"/>
        <w:pageBreakBefore w:val="0"/>
        <w:kinsoku/>
        <w:wordWrap/>
        <w:overflowPunct/>
        <w:topLinePunct w:val="0"/>
        <w:autoSpaceDE/>
        <w:autoSpaceDN/>
        <w:bidi w:val="0"/>
        <w:adjustRightInd/>
        <w:snapToGrid/>
        <w:spacing w:line="560" w:lineRule="exact"/>
        <w:ind w:left="425"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（3）当效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益</w:t>
      </w:r>
      <w:r>
        <w:rPr>
          <w:rFonts w:hint="eastAsia" w:ascii="仿宋_GB2312" w:hAnsi="仿宋_GB2312" w:eastAsia="仿宋_GB2312" w:cs="仿宋_GB2312"/>
          <w:color w:val="000000" w:themeColor="text1"/>
          <w:sz w:val="32"/>
          <w:szCs w:val="32"/>
          <w14:textFill>
            <w14:solidFill>
              <w14:schemeClr w14:val="tx1"/>
            </w14:solidFill>
          </w14:textFill>
        </w:rPr>
        <w:t>提高而成本成加大时，应选择增效的单位追加成本低的方案。</w:t>
      </w:r>
    </w:p>
    <w:p w14:paraId="55EF02AB">
      <w:pPr>
        <w:pStyle w:val="25"/>
        <w:pageBreakBefore w:val="0"/>
        <w:kinsoku/>
        <w:wordWrap/>
        <w:overflowPunct/>
        <w:topLinePunct w:val="0"/>
        <w:autoSpaceDE/>
        <w:autoSpaceDN/>
        <w:bidi w:val="0"/>
        <w:adjustRightInd/>
        <w:snapToGrid/>
        <w:spacing w:line="560" w:lineRule="exact"/>
        <w:ind w:left="425" w:firstLine="640" w:firstLineChars="200"/>
        <w:textAlignment w:val="auto"/>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该项目</w:t>
      </w:r>
      <w:r>
        <w:rPr>
          <w:rFonts w:hint="eastAsia" w:ascii="仿宋_GB2312" w:hAnsi="仿宋_GB2312" w:eastAsia="仿宋_GB2312" w:cs="仿宋_GB2312"/>
          <w:color w:val="000000" w:themeColor="text1"/>
          <w:sz w:val="32"/>
          <w:szCs w:val="32"/>
          <w14:textFill>
            <w14:solidFill>
              <w14:schemeClr w14:val="tx1"/>
            </w14:solidFill>
          </w14:textFill>
        </w:rPr>
        <w:t>成本效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益</w:t>
      </w:r>
      <w:r>
        <w:rPr>
          <w:rFonts w:hint="eastAsia" w:ascii="仿宋_GB2312" w:hAnsi="仿宋_GB2312" w:eastAsia="仿宋_GB2312" w:cs="仿宋_GB2312"/>
          <w:color w:val="000000" w:themeColor="text1"/>
          <w:sz w:val="32"/>
          <w:szCs w:val="32"/>
          <w14:textFill>
            <w14:solidFill>
              <w14:schemeClr w14:val="tx1"/>
            </w14:solidFill>
          </w14:textFill>
        </w:rPr>
        <w:t>分析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选用第二种方案。</w:t>
      </w:r>
    </w:p>
    <w:p w14:paraId="5BB82E1A">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val="0"/>
          <w:bCs w:val="0"/>
          <w:sz w:val="32"/>
          <w:szCs w:val="32"/>
          <w:highlight w:val="none"/>
        </w:rPr>
        <w:t>评价标准</w:t>
      </w:r>
    </w:p>
    <w:p w14:paraId="50839203">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绩效评价标准通常包括计划标准、行业标准、历史标准等，用于对绩效指标完成情况进行比较、分析、评价。本次评价主要采用了</w:t>
      </w:r>
      <w:r>
        <w:rPr>
          <w:rFonts w:hint="eastAsia" w:ascii="仿宋_GB2312" w:hAnsi="仿宋_GB2312" w:eastAsia="仿宋_GB2312" w:cs="仿宋_GB2312"/>
          <w:b w:val="0"/>
          <w:bCs w:val="0"/>
          <w:color w:val="000000"/>
          <w:spacing w:val="17"/>
          <w:sz w:val="32"/>
          <w:szCs w:val="32"/>
          <w:lang w:val="en-US" w:eastAsia="zh-CN"/>
        </w:rPr>
        <w:t>计划</w:t>
      </w:r>
      <w:r>
        <w:rPr>
          <w:rFonts w:hint="eastAsia" w:ascii="仿宋_GB2312" w:hAnsi="仿宋_GB2312" w:eastAsia="仿宋_GB2312" w:cs="仿宋_GB2312"/>
          <w:b w:val="0"/>
          <w:bCs w:val="0"/>
          <w:sz w:val="32"/>
          <w:szCs w:val="32"/>
        </w:rPr>
        <w:t>标准。</w:t>
      </w:r>
    </w:p>
    <w:p w14:paraId="28062ECF">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计划标准。指以预先制定的目标、计划、预算、定额等作为评价标准。</w:t>
      </w:r>
    </w:p>
    <w:p w14:paraId="54C9BED4">
      <w:pPr>
        <w:pStyle w:val="11"/>
        <w:pageBreakBefore w:val="0"/>
        <w:numPr>
          <w:ilvl w:val="0"/>
          <w:numId w:val="3"/>
        </w:numPr>
        <w:kinsoku/>
        <w:wordWrap/>
        <w:overflowPunct/>
        <w:topLinePunct w:val="0"/>
        <w:autoSpaceDE/>
        <w:autoSpaceDN/>
        <w:bidi w:val="0"/>
        <w:adjustRightInd/>
        <w:snapToGrid/>
        <w:spacing w:before="0" w:after="0" w:line="560" w:lineRule="exact"/>
        <w:ind w:firstLine="711" w:firstLineChars="200"/>
        <w:jc w:val="both"/>
        <w:textAlignment w:val="auto"/>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222A3B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前期准备与规划</w:t>
      </w:r>
    </w:p>
    <w:p w14:paraId="10A177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B53B9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指标体系构建</w:t>
      </w:r>
    </w:p>
    <w:p w14:paraId="458CFF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依据项目的性质、目标以及预期成果，构建了科学合理的绩效评价指标体系。该指标体系涵盖了</w:t>
      </w:r>
      <w:r>
        <w:rPr>
          <w:rFonts w:hint="eastAsia" w:ascii="仿宋_GB2312" w:hAnsi="仿宋_GB2312" w:eastAsia="仿宋_GB2312" w:cs="仿宋_GB2312"/>
          <w:color w:val="000000"/>
          <w:spacing w:val="17"/>
          <w:sz w:val="32"/>
          <w:szCs w:val="32"/>
          <w:highlight w:val="none"/>
        </w:rPr>
        <w:t>项目决策、项目过程、项目产出、项目效益四个维度</w:t>
      </w:r>
      <w:r>
        <w:rPr>
          <w:rFonts w:hint="eastAsia" w:ascii="仿宋_GB2312" w:hAnsi="仿宋_GB2312" w:eastAsia="仿宋_GB2312" w:cs="仿宋_GB2312"/>
          <w:sz w:val="32"/>
          <w:szCs w:val="32"/>
          <w:highlight w:val="none"/>
          <w:lang w:eastAsia="zh-CN"/>
        </w:rPr>
        <w:t>，选取了具有代表性和可衡量性的关键指标，并为每个指标设定了明确的评价标准与权重，确保评价结果能够全面、准确地反映项目的绩效状况。</w:t>
      </w:r>
    </w:p>
    <w:p w14:paraId="0414F0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数据收集与整理</w:t>
      </w:r>
    </w:p>
    <w:p w14:paraId="19F7EA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31071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数据分析与评估</w:t>
      </w:r>
    </w:p>
    <w:p w14:paraId="3D766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0F079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报告撰写与反馈</w:t>
      </w:r>
    </w:p>
    <w:p w14:paraId="72E332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E3256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eastAsia="zh-CN"/>
        </w:rPr>
        <w:t>后续跟踪与改进</w:t>
      </w:r>
    </w:p>
    <w:p w14:paraId="31ECB2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5A98FB0C">
      <w:pPr>
        <w:pageBreakBefore w:val="0"/>
        <w:numPr>
          <w:ilvl w:val="0"/>
          <w:numId w:val="4"/>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25463591">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5A6C1E7A">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b w:val="0"/>
          <w:bCs w:val="0"/>
          <w:w w:val="80"/>
          <w:kern w:val="0"/>
          <w:sz w:val="32"/>
          <w:szCs w:val="32"/>
          <w:highlight w:val="none"/>
          <w:u w:val="none"/>
        </w:rPr>
        <w:t>无线电资产运维及更新项目</w:t>
      </w:r>
      <w:r>
        <w:rPr>
          <w:rFonts w:hint="eastAsia" w:ascii="仿宋_GB2312" w:hAnsi="仿宋_GB2312" w:eastAsia="仿宋_GB2312" w:cs="仿宋_GB2312"/>
          <w:b w:val="0"/>
          <w:bCs w:val="0"/>
          <w:sz w:val="32"/>
          <w:szCs w:val="32"/>
          <w:highlight w:val="none"/>
        </w:rPr>
        <w:t>在设备购置数量、库房租赁面积（平方米）</w:t>
      </w:r>
      <w:r>
        <w:rPr>
          <w:rFonts w:hint="eastAsia" w:ascii="仿宋_GB2312" w:hAnsi="仿宋_GB2312" w:eastAsia="仿宋_GB2312" w:cs="仿宋_GB2312"/>
          <w:b w:val="0"/>
          <w:bCs w:val="0"/>
          <w:sz w:val="32"/>
          <w:szCs w:val="32"/>
          <w:highlight w:val="none"/>
          <w:lang w:eastAsia="zh-CN"/>
        </w:rPr>
        <w:t>、设备验收合格率、设备采购完成时间、（项目）工程按计划完工时间、竣工验收合格率、项目预算控制率、单位正常运转率</w:t>
      </w:r>
      <w:r>
        <w:rPr>
          <w:rFonts w:hint="eastAsia" w:ascii="仿宋_GB2312" w:hAnsi="仿宋_GB2312" w:eastAsia="仿宋_GB2312" w:cs="仿宋_GB2312"/>
          <w:b w:val="0"/>
          <w:bCs w:val="0"/>
          <w:sz w:val="32"/>
          <w:szCs w:val="32"/>
          <w:highlight w:val="none"/>
        </w:rPr>
        <w:t>等方面表现出色，达到了预期的标准与要求。</w:t>
      </w:r>
    </w:p>
    <w:p w14:paraId="58043EF6">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在项目管理方面，</w:t>
      </w:r>
      <w:r>
        <w:rPr>
          <w:rFonts w:hint="eastAsia" w:ascii="仿宋_GB2312" w:hAnsi="仿宋_GB2312" w:eastAsia="仿宋_GB2312" w:cs="仿宋_GB2312"/>
          <w:b w:val="0"/>
          <w:bCs w:val="0"/>
          <w:sz w:val="32"/>
          <w:szCs w:val="32"/>
          <w:highlight w:val="none"/>
          <w:lang w:val="en-US" w:eastAsia="zh-CN"/>
        </w:rPr>
        <w:t>伊犁州无线电管理局</w:t>
      </w:r>
      <w:r>
        <w:rPr>
          <w:rFonts w:hint="eastAsia" w:ascii="仿宋_GB2312" w:hAnsi="仿宋_GB2312" w:eastAsia="仿宋_GB2312" w:cs="仿宋_GB2312"/>
          <w:b w:val="0"/>
          <w:bCs w:val="0"/>
          <w:sz w:val="32"/>
          <w:szCs w:val="32"/>
          <w:highlight w:val="none"/>
        </w:rPr>
        <w:t>通过有效的规划、组织与协调，项目得以顺利实施，并在预算与时间上保持了良好的控制。</w:t>
      </w:r>
    </w:p>
    <w:p w14:paraId="12786608">
      <w:pPr>
        <w:pStyle w:val="11"/>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从项目效益的角度来看，本项目不仅实现了预期的社会效益</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在经济效益</w:t>
      </w:r>
      <w:r>
        <w:rPr>
          <w:rFonts w:hint="eastAsia" w:ascii="仿宋_GB2312" w:hAnsi="仿宋_GB2312" w:eastAsia="仿宋_GB2312" w:cs="仿宋_GB2312"/>
          <w:b w:val="0"/>
          <w:bCs w:val="0"/>
          <w:sz w:val="32"/>
          <w:szCs w:val="32"/>
          <w:highlight w:val="none"/>
        </w:rPr>
        <w:t>等方面</w:t>
      </w:r>
      <w:r>
        <w:rPr>
          <w:rFonts w:hint="eastAsia" w:ascii="仿宋_GB2312" w:hAnsi="仿宋_GB2312" w:eastAsia="仿宋_GB2312" w:cs="仿宋_GB2312"/>
          <w:b w:val="0"/>
          <w:bCs w:val="0"/>
          <w:sz w:val="32"/>
          <w:szCs w:val="32"/>
          <w:highlight w:val="none"/>
          <w:lang w:val="en-US" w:eastAsia="zh-CN"/>
        </w:rPr>
        <w:t>也</w:t>
      </w:r>
      <w:r>
        <w:rPr>
          <w:rFonts w:hint="eastAsia" w:ascii="仿宋_GB2312" w:hAnsi="仿宋_GB2312" w:eastAsia="仿宋_GB2312" w:cs="仿宋_GB2312"/>
          <w:b w:val="0"/>
          <w:bCs w:val="0"/>
          <w:sz w:val="32"/>
          <w:szCs w:val="32"/>
          <w:highlight w:val="none"/>
        </w:rPr>
        <w:t>产生了积极的影响。具体而言</w:t>
      </w:r>
      <w:r>
        <w:rPr>
          <w:rFonts w:hint="eastAsia" w:ascii="仿宋_GB2312" w:hAnsi="仿宋_GB2312" w:eastAsia="仿宋_GB2312" w:cs="仿宋_GB2312"/>
          <w:b w:val="0"/>
          <w:bCs w:val="0"/>
          <w:sz w:val="32"/>
          <w:szCs w:val="32"/>
          <w:highlight w:val="none"/>
          <w:lang w:val="en-US" w:eastAsia="zh-CN"/>
        </w:rPr>
        <w:t>：一是</w:t>
      </w:r>
      <w:r>
        <w:rPr>
          <w:rFonts w:hint="eastAsia" w:ascii="仿宋_GB2312" w:hAnsi="仿宋_GB2312" w:eastAsia="仿宋_GB2312" w:cs="仿宋_GB2312"/>
          <w:b w:val="0"/>
          <w:bCs w:val="0"/>
          <w:sz w:val="32"/>
          <w:szCs w:val="32"/>
          <w:highlight w:val="none"/>
        </w:rPr>
        <w:t>提高</w:t>
      </w:r>
      <w:r>
        <w:rPr>
          <w:rFonts w:hint="eastAsia" w:ascii="仿宋_GB2312" w:hAnsi="仿宋_GB2312" w:eastAsia="仿宋_GB2312" w:cs="仿宋_GB2312"/>
          <w:b w:val="0"/>
          <w:bCs w:val="0"/>
          <w:sz w:val="32"/>
          <w:szCs w:val="32"/>
          <w:highlight w:val="none"/>
          <w:lang w:val="en-US" w:eastAsia="zh-CN"/>
        </w:rPr>
        <w:t>伊犁哈萨克自治州无线电管理局B级控制中心各办公室、监测中心、机房等</w:t>
      </w:r>
      <w:r>
        <w:rPr>
          <w:rFonts w:hint="eastAsia" w:ascii="仿宋_GB2312" w:hAnsi="仿宋_GB2312" w:eastAsia="仿宋_GB2312" w:cs="仿宋_GB2312"/>
          <w:b w:val="0"/>
          <w:bCs w:val="0"/>
          <w:sz w:val="32"/>
          <w:szCs w:val="32"/>
          <w:highlight w:val="none"/>
        </w:rPr>
        <w:t>供电可靠性，维护</w:t>
      </w:r>
      <w:r>
        <w:rPr>
          <w:rFonts w:hint="eastAsia" w:ascii="仿宋_GB2312" w:hAnsi="仿宋_GB2312" w:eastAsia="仿宋_GB2312" w:cs="仿宋_GB2312"/>
          <w:b w:val="0"/>
          <w:bCs w:val="0"/>
          <w:sz w:val="32"/>
          <w:szCs w:val="32"/>
          <w:highlight w:val="none"/>
          <w:lang w:val="en-US" w:eastAsia="zh-CN"/>
        </w:rPr>
        <w:t>控制中心</w:t>
      </w:r>
      <w:r>
        <w:rPr>
          <w:rFonts w:hint="eastAsia" w:ascii="仿宋_GB2312" w:hAnsi="仿宋_GB2312" w:eastAsia="仿宋_GB2312" w:cs="仿宋_GB2312"/>
          <w:b w:val="0"/>
          <w:bCs w:val="0"/>
          <w:sz w:val="32"/>
          <w:szCs w:val="32"/>
          <w:highlight w:val="none"/>
        </w:rPr>
        <w:t>运行安全，保障</w:t>
      </w:r>
      <w:r>
        <w:rPr>
          <w:rFonts w:hint="eastAsia" w:ascii="仿宋_GB2312" w:hAnsi="仿宋_GB2312" w:eastAsia="仿宋_GB2312" w:cs="仿宋_GB2312"/>
          <w:b w:val="0"/>
          <w:bCs w:val="0"/>
          <w:sz w:val="32"/>
          <w:szCs w:val="32"/>
          <w:highlight w:val="none"/>
          <w:lang w:val="en-US" w:eastAsia="zh-CN"/>
        </w:rPr>
        <w:t>对伊犁州直各远程遥控固定站</w:t>
      </w:r>
      <w:r>
        <w:rPr>
          <w:rFonts w:hint="eastAsia" w:ascii="仿宋_GB2312" w:hAnsi="仿宋_GB2312" w:eastAsia="仿宋_GB2312" w:cs="仿宋_GB2312"/>
          <w:b w:val="0"/>
          <w:bCs w:val="0"/>
          <w:sz w:val="32"/>
          <w:szCs w:val="32"/>
          <w:highlight w:val="none"/>
        </w:rPr>
        <w:t>监管，建立较完善的安防体系，消除因</w:t>
      </w:r>
      <w:r>
        <w:rPr>
          <w:rFonts w:hint="eastAsia" w:ascii="仿宋_GB2312" w:hAnsi="仿宋_GB2312" w:eastAsia="仿宋_GB2312" w:cs="仿宋_GB2312"/>
          <w:b w:val="0"/>
          <w:bCs w:val="0"/>
          <w:sz w:val="32"/>
          <w:szCs w:val="32"/>
          <w:highlight w:val="none"/>
          <w:lang w:val="en-US" w:eastAsia="zh-CN"/>
        </w:rPr>
        <w:t>用电</w:t>
      </w:r>
      <w:r>
        <w:rPr>
          <w:rFonts w:hint="eastAsia" w:ascii="仿宋_GB2312" w:hAnsi="仿宋_GB2312" w:eastAsia="仿宋_GB2312" w:cs="仿宋_GB2312"/>
          <w:b w:val="0"/>
          <w:bCs w:val="0"/>
          <w:sz w:val="32"/>
          <w:szCs w:val="32"/>
          <w:highlight w:val="none"/>
        </w:rPr>
        <w:t>带来的严重安全隐患</w:t>
      </w:r>
      <w:r>
        <w:rPr>
          <w:rFonts w:hint="eastAsia" w:ascii="仿宋_GB2312" w:hAnsi="仿宋_GB2312" w:eastAsia="仿宋_GB2312" w:cs="仿宋_GB2312"/>
          <w:b w:val="0"/>
          <w:bCs w:val="0"/>
          <w:sz w:val="32"/>
          <w:szCs w:val="32"/>
          <w:highlight w:val="none"/>
          <w:lang w:val="en-US" w:eastAsia="zh-CN"/>
        </w:rPr>
        <w:t>；二是保证办公用房设施运行安全、国有资产增值保值、避免造成安全事故，为推动实现新疆社会稳定和长治久安总目标提供坚实的安全生产保障；三</w:t>
      </w:r>
      <w:r>
        <w:rPr>
          <w:rFonts w:hint="eastAsia" w:ascii="仿宋_GB2312" w:hAnsi="仿宋_GB2312" w:eastAsia="仿宋_GB2312" w:cs="仿宋_GB2312"/>
          <w:b w:val="0"/>
          <w:bCs w:val="0"/>
          <w:color w:val="000000"/>
          <w:kern w:val="0"/>
          <w:sz w:val="32"/>
          <w:szCs w:val="32"/>
          <w:highlight w:val="none"/>
          <w:shd w:val="clear" w:color="FFFFFF" w:fill="FFFFFF"/>
          <w:lang w:val="en-US" w:eastAsia="zh-CN"/>
        </w:rPr>
        <w:t xml:space="preserve"> </w:t>
      </w:r>
      <w:r>
        <w:rPr>
          <w:rFonts w:hint="eastAsia" w:ascii="仿宋_GB2312" w:hAnsi="仿宋_GB2312" w:eastAsia="仿宋_GB2312" w:cs="仿宋_GB2312"/>
          <w:b w:val="0"/>
          <w:bCs w:val="0"/>
          <w:highlight w:val="none"/>
          <w:lang w:val="en-US" w:eastAsia="zh-CN"/>
        </w:rPr>
        <w:t>为保障伊犁州无线电监测控制中心正常运行，无线电监测网技术设施工作性能满足工作要求，维护伊犁州直无线电监测网的正常运行，提高无线电监测网使用效益</w:t>
      </w:r>
      <w:r>
        <w:rPr>
          <w:rFonts w:hint="eastAsia" w:ascii="仿宋_GB2312" w:hAnsi="仿宋_GB2312" w:eastAsia="仿宋_GB2312" w:cs="仿宋_GB2312"/>
          <w:b w:val="0"/>
          <w:bCs w:val="0"/>
          <w:sz w:val="32"/>
          <w:szCs w:val="32"/>
          <w:highlight w:val="none"/>
        </w:rPr>
        <w:t>。</w:t>
      </w:r>
    </w:p>
    <w:p w14:paraId="670D1B55">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eastAsia" w:ascii="仿宋_GB2312" w:hAnsi="仿宋_GB2312" w:eastAsia="仿宋_GB2312" w:cs="仿宋_GB2312"/>
          <w:b w:val="0"/>
          <w:bCs w:val="0"/>
          <w:sz w:val="32"/>
          <w:szCs w:val="32"/>
          <w:highlight w:val="none"/>
        </w:rPr>
        <w:t>综上所述，</w:t>
      </w:r>
      <w:r>
        <w:rPr>
          <w:rFonts w:hint="eastAsia" w:ascii="仿宋_GB2312" w:hAnsi="仿宋_GB2312" w:eastAsia="仿宋_GB2312" w:cs="仿宋_GB2312"/>
          <w:b w:val="0"/>
          <w:bCs w:val="0"/>
          <w:w w:val="80"/>
          <w:kern w:val="0"/>
          <w:sz w:val="32"/>
          <w:szCs w:val="32"/>
          <w:highlight w:val="none"/>
          <w:u w:val="none"/>
        </w:rPr>
        <w:t>无线电资产运维及更新项目</w:t>
      </w:r>
      <w:r>
        <w:rPr>
          <w:rFonts w:hint="eastAsia" w:ascii="仿宋_GB2312" w:hAnsi="仿宋_GB2312" w:eastAsia="仿宋_GB2312" w:cs="仿宋_GB2312"/>
          <w:b w:val="0"/>
          <w:bCs w:val="0"/>
          <w:sz w:val="32"/>
          <w:szCs w:val="32"/>
          <w:highlight w:val="none"/>
        </w:rPr>
        <w:t>在绩效评价中表现出色，达到了项目的预期目标，并在多个方面取得了显著的成效</w:t>
      </w:r>
      <w:r>
        <w:rPr>
          <w:rFonts w:hint="default" w:ascii="Times New Roman" w:hAnsi="Times New Roman" w:eastAsia="仿宋_GB2312" w:cs="Times New Roman"/>
          <w:sz w:val="32"/>
          <w:szCs w:val="32"/>
          <w:highlight w:val="none"/>
        </w:rPr>
        <w:t>。</w:t>
      </w:r>
    </w:p>
    <w:p w14:paraId="4C21BA5A">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505F4094">
      <w:pPr>
        <w:pStyle w:val="11"/>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eastAsia" w:ascii="仿宋_GB2312" w:hAnsi="仿宋_GB2312" w:eastAsia="仿宋_GB2312" w:cs="仿宋_GB2312"/>
          <w:b w:val="0"/>
          <w:bCs w:val="0"/>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仿宋_GB2312" w:hAnsi="仿宋_GB2312" w:eastAsia="仿宋_GB2312" w:cs="仿宋_GB2312"/>
          <w:b w:val="0"/>
          <w:bCs w:val="0"/>
          <w:sz w:val="32"/>
          <w:szCs w:val="32"/>
          <w:highlight w:val="none"/>
          <w:lang w:val="en-US" w:eastAsia="zh-CN"/>
        </w:rPr>
        <w:t>96.5</w:t>
      </w:r>
      <w:r>
        <w:rPr>
          <w:rFonts w:hint="eastAsia" w:ascii="仿宋_GB2312" w:hAnsi="仿宋_GB2312" w:eastAsia="仿宋_GB2312" w:cs="仿宋_GB2312"/>
          <w:b w:val="0"/>
          <w:bCs w:val="0"/>
          <w:sz w:val="32"/>
          <w:szCs w:val="32"/>
          <w:highlight w:val="none"/>
        </w:rPr>
        <w:t xml:space="preserve">分，属于“优”。其中，项目决策类指标权重为20分，得分为 </w:t>
      </w:r>
      <w:r>
        <w:rPr>
          <w:rFonts w:hint="eastAsia" w:ascii="仿宋_GB2312" w:hAnsi="仿宋_GB2312" w:eastAsia="仿宋_GB2312" w:cs="仿宋_GB2312"/>
          <w:b w:val="0"/>
          <w:bCs w:val="0"/>
          <w:sz w:val="32"/>
          <w:szCs w:val="32"/>
          <w:highlight w:val="none"/>
          <w:lang w:val="en-US" w:eastAsia="zh-CN"/>
        </w:rPr>
        <w:t>20</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%。项目过程类指标权重为20分，得分为</w:t>
      </w:r>
      <w:r>
        <w:rPr>
          <w:rFonts w:hint="eastAsia" w:ascii="仿宋_GB2312" w:hAnsi="仿宋_GB2312" w:eastAsia="仿宋_GB2312" w:cs="仿宋_GB2312"/>
          <w:b w:val="0"/>
          <w:bCs w:val="0"/>
          <w:sz w:val="32"/>
          <w:szCs w:val="32"/>
          <w:highlight w:val="none"/>
          <w:lang w:val="en-US" w:eastAsia="zh-CN"/>
        </w:rPr>
        <w:t>18.5</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92.5</w:t>
      </w:r>
      <w:r>
        <w:rPr>
          <w:rFonts w:hint="eastAsia" w:ascii="仿宋_GB2312" w:hAnsi="仿宋_GB2312" w:eastAsia="仿宋_GB2312" w:cs="仿宋_GB2312"/>
          <w:b w:val="0"/>
          <w:bCs w:val="0"/>
          <w:sz w:val="32"/>
          <w:szCs w:val="32"/>
          <w:highlight w:val="none"/>
        </w:rPr>
        <w:t>%。项目产出类指标权重为40分，得分为</w:t>
      </w:r>
      <w:r>
        <w:rPr>
          <w:rFonts w:hint="eastAsia" w:ascii="仿宋_GB2312" w:hAnsi="仿宋_GB2312" w:eastAsia="仿宋_GB2312" w:cs="仿宋_GB2312"/>
          <w:b w:val="0"/>
          <w:bCs w:val="0"/>
          <w:sz w:val="32"/>
          <w:szCs w:val="32"/>
          <w:highlight w:val="none"/>
          <w:lang w:val="en-US" w:eastAsia="zh-CN"/>
        </w:rPr>
        <w:t>38</w:t>
      </w:r>
      <w:r>
        <w:rPr>
          <w:rFonts w:hint="eastAsia" w:ascii="仿宋_GB2312" w:hAnsi="仿宋_GB2312" w:eastAsia="仿宋_GB2312" w:cs="仿宋_GB2312"/>
          <w:b w:val="0"/>
          <w:bCs w:val="0"/>
          <w:sz w:val="32"/>
          <w:szCs w:val="32"/>
          <w:highlight w:val="none"/>
        </w:rPr>
        <w:t xml:space="preserve">分，得分率为 </w:t>
      </w:r>
      <w:r>
        <w:rPr>
          <w:rFonts w:hint="eastAsia" w:ascii="仿宋_GB2312" w:hAnsi="仿宋_GB2312" w:eastAsia="仿宋_GB2312" w:cs="仿宋_GB2312"/>
          <w:b w:val="0"/>
          <w:bCs w:val="0"/>
          <w:sz w:val="32"/>
          <w:szCs w:val="32"/>
          <w:highlight w:val="none"/>
          <w:lang w:val="en-US" w:eastAsia="zh-CN"/>
        </w:rPr>
        <w:t>95</w:t>
      </w:r>
      <w:r>
        <w:rPr>
          <w:rFonts w:hint="eastAsia" w:ascii="仿宋_GB2312" w:hAnsi="仿宋_GB2312" w:eastAsia="仿宋_GB2312" w:cs="仿宋_GB2312"/>
          <w:b w:val="0"/>
          <w:bCs w:val="0"/>
          <w:sz w:val="32"/>
          <w:szCs w:val="32"/>
          <w:highlight w:val="none"/>
        </w:rPr>
        <w:t>%。项目效益类指标权重为20分，得分为</w:t>
      </w:r>
      <w:r>
        <w:rPr>
          <w:rFonts w:hint="eastAsia" w:ascii="仿宋_GB2312" w:hAnsi="仿宋_GB2312" w:eastAsia="仿宋_GB2312" w:cs="仿宋_GB2312"/>
          <w:b w:val="0"/>
          <w:bCs w:val="0"/>
          <w:sz w:val="32"/>
          <w:szCs w:val="32"/>
          <w:highlight w:val="none"/>
          <w:lang w:val="en-US" w:eastAsia="zh-CN"/>
        </w:rPr>
        <w:t>20</w:t>
      </w:r>
      <w:r>
        <w:rPr>
          <w:rFonts w:hint="eastAsia" w:ascii="仿宋_GB2312" w:hAnsi="仿宋_GB2312" w:eastAsia="仿宋_GB2312" w:cs="仿宋_GB2312"/>
          <w:b w:val="0"/>
          <w:bCs w:val="0"/>
          <w:sz w:val="32"/>
          <w:szCs w:val="32"/>
          <w:highlight w:val="none"/>
        </w:rPr>
        <w:t>分，得分率为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60781DA4">
      <w:pPr>
        <w:pStyle w:val="11"/>
        <w:keepNext w:val="0"/>
        <w:keepLines w:val="0"/>
        <w:pageBreakBefore w:val="0"/>
        <w:widowControl/>
        <w:kinsoku/>
        <w:wordWrap/>
        <w:overflowPunct/>
        <w:topLinePunct w:val="0"/>
        <w:autoSpaceDE/>
        <w:autoSpaceDN/>
        <w:bidi w:val="0"/>
        <w:adjustRightInd/>
        <w:snapToGrid/>
        <w:spacing w:before="0" w:after="0" w:line="560" w:lineRule="exact"/>
        <w:ind w:firstLine="422" w:firstLineChars="20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14:paraId="6994CCEA">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6405879">
            <w:pPr>
              <w:pageBreakBefore w:val="0"/>
              <w:kinsoku/>
              <w:wordWrap/>
              <w:overflowPunct/>
              <w:topLinePunct w:val="0"/>
              <w:autoSpaceDE/>
              <w:autoSpaceDN/>
              <w:bidi w:val="0"/>
              <w:adjustRightInd/>
              <w:snapToGrid/>
              <w:spacing w:line="560" w:lineRule="exact"/>
              <w:ind w:firstLine="422" w:firstLineChars="20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414638F">
            <w:pPr>
              <w:pageBreakBefore w:val="0"/>
              <w:kinsoku/>
              <w:wordWrap/>
              <w:overflowPunct/>
              <w:topLinePunct w:val="0"/>
              <w:autoSpaceDE/>
              <w:autoSpaceDN/>
              <w:bidi w:val="0"/>
              <w:adjustRightInd/>
              <w:snapToGrid/>
              <w:spacing w:line="560" w:lineRule="exact"/>
              <w:ind w:firstLine="422" w:firstLineChars="20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48E0175">
            <w:pPr>
              <w:pageBreakBefore w:val="0"/>
              <w:kinsoku/>
              <w:wordWrap/>
              <w:overflowPunct/>
              <w:topLinePunct w:val="0"/>
              <w:autoSpaceDE/>
              <w:autoSpaceDN/>
              <w:bidi w:val="0"/>
              <w:adjustRightInd/>
              <w:snapToGrid/>
              <w:spacing w:line="560" w:lineRule="exact"/>
              <w:ind w:firstLine="422" w:firstLineChars="20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5E3DF4D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244AAA6">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322244A2">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E874CB4">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7DEE36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4C22502">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3105BE4D">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4315E07">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18.5</w:t>
            </w:r>
          </w:p>
        </w:tc>
      </w:tr>
      <w:tr w14:paraId="38FD186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FC52AE7">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2ABFDD8A">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8341661">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38</w:t>
            </w:r>
          </w:p>
        </w:tc>
      </w:tr>
      <w:tr w14:paraId="1B45CCD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FA99A8">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28C0BB66">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B8524F1">
            <w:pPr>
              <w:pageBreakBefore w:val="0"/>
              <w:kinsoku/>
              <w:wordWrap/>
              <w:overflowPunct/>
              <w:topLinePunct w:val="0"/>
              <w:autoSpaceDE/>
              <w:autoSpaceDN/>
              <w:bidi w:val="0"/>
              <w:adjustRightInd/>
              <w:snapToGrid/>
              <w:spacing w:line="560" w:lineRule="exact"/>
              <w:ind w:firstLine="420" w:firstLineChars="200"/>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0689C87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F2D29D7">
            <w:pPr>
              <w:pageBreakBefore w:val="0"/>
              <w:kinsoku/>
              <w:wordWrap/>
              <w:overflowPunct/>
              <w:topLinePunct w:val="0"/>
              <w:autoSpaceDE/>
              <w:autoSpaceDN/>
              <w:bidi w:val="0"/>
              <w:adjustRightInd/>
              <w:snapToGrid/>
              <w:spacing w:line="560" w:lineRule="exact"/>
              <w:ind w:firstLine="422" w:firstLineChars="200"/>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5623DB38">
            <w:pPr>
              <w:pageBreakBefore w:val="0"/>
              <w:kinsoku/>
              <w:wordWrap/>
              <w:overflowPunct/>
              <w:topLinePunct w:val="0"/>
              <w:autoSpaceDE/>
              <w:autoSpaceDN/>
              <w:bidi w:val="0"/>
              <w:adjustRightInd/>
              <w:snapToGrid/>
              <w:spacing w:line="560" w:lineRule="exact"/>
              <w:ind w:firstLine="422" w:firstLineChars="200"/>
              <w:jc w:val="center"/>
              <w:textAlignment w:val="auto"/>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79F91EC">
            <w:pPr>
              <w:pageBreakBefore w:val="0"/>
              <w:kinsoku/>
              <w:wordWrap/>
              <w:overflowPunct/>
              <w:topLinePunct w:val="0"/>
              <w:autoSpaceDE/>
              <w:autoSpaceDN/>
              <w:bidi w:val="0"/>
              <w:adjustRightInd/>
              <w:snapToGrid/>
              <w:spacing w:line="560" w:lineRule="exact"/>
              <w:ind w:firstLine="422" w:firstLineChars="200"/>
              <w:jc w:val="center"/>
              <w:textAlignment w:val="auto"/>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96.5</w:t>
            </w:r>
          </w:p>
        </w:tc>
      </w:tr>
    </w:tbl>
    <w:p w14:paraId="3E5F5BB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3AC96C2F">
      <w:pPr>
        <w:pStyle w:val="11"/>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166695D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项目决策类指标包括项目立项、绩效目标和资金投入三方面的内容，由6个三级指标构成，权重分值为20分，实际得分20分，得分率为100%。</w:t>
      </w:r>
    </w:p>
    <w:p w14:paraId="27D77F0C">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74D966F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17030A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9A3570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39D967E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35453326">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7DAA7A8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4FB425F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4077C1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5B680EC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A7072E0">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521584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5D03F5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D5831B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92B22B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81C5B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A6607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3B075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280C6A4">
      <w:pPr>
        <w:pStyle w:val="11"/>
        <w:pageBreakBefore w:val="0"/>
        <w:numPr>
          <w:ilvl w:val="0"/>
          <w:numId w:val="5"/>
        </w:numPr>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 w:cs="Times New Roman"/>
        </w:rPr>
      </w:pPr>
      <w:r>
        <w:rPr>
          <w:rFonts w:hint="default" w:ascii="Times New Roman" w:hAnsi="Times New Roman" w:eastAsia="楷体" w:cs="Times New Roman"/>
        </w:rPr>
        <w:t>项目过程情况</w:t>
      </w:r>
    </w:p>
    <w:p w14:paraId="00D3F21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项目过程类指标包括资金管理和组织实施两方面的内容，由5个三级指标构成，权重分值为20分，实际得分18.5分，得分率为92.5%。</w:t>
      </w:r>
    </w:p>
    <w:p w14:paraId="5ABEE336">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1.资金管理</w:t>
      </w:r>
    </w:p>
    <w:p w14:paraId="2A718F3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14:paraId="16BBD2C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本项目总投资17.87万元，单位资金及时足额到位，到位率100%，预算资金按计划进度执行。</w:t>
      </w:r>
    </w:p>
    <w:p w14:paraId="016A5FC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14:paraId="559CA1F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预算编制较为详细，项目资金支出总体能够按照预算执行，无线电资产运维及更新项目中有两个项目6.23万元未执行，预算资金总体支出11.18万元，预算执行率为62.56%。</w:t>
      </w:r>
    </w:p>
    <w:p w14:paraId="1C83E80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14:paraId="5B831D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4ABE00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80124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7A686E6">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5AD4ED2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14:paraId="35D83B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28E95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在制度设计上，我们注重了制度的科学性与可操作性，确保制度能够切实指导项目的执行与管理。</w:t>
      </w:r>
    </w:p>
    <w:p w14:paraId="738F1F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C6F1E6E">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20B2761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50E342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本项目在执行过程中，管理制度得到了全面、有效的落实，为确保项目的顺利实施与目标实现提供了坚实的保障。项目</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重视制度执行的重要性，通过明确责任分工、制定详细执行计划、加强监督考核等措施，确保了各项管理制度能够得到有效执行。</w:t>
      </w:r>
    </w:p>
    <w:p w14:paraId="3BCA6E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6DC181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综上所述，本项目的管理制度在执行过程中表现出了高度的有效性，既确保了项目的顺利进行，又实现了项目目标的有效达成。</w:t>
      </w:r>
    </w:p>
    <w:p w14:paraId="2C05E86E">
      <w:pPr>
        <w:pStyle w:val="13"/>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71F631B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项目产出类指标包括产出数量、产出质量、产出时效、产出成本四方面的内容，由8个三级指标构成，权重分为40分，实际得分38分，得分率为95%。具体产出指标完成情况如下：</w:t>
      </w:r>
    </w:p>
    <w:p w14:paraId="310554F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412F89F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指标1：设备购置数量，指标值：=5个，实际完成值：=5个，指标完成率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01E47D6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：改造工程数量，指标值：&gt;=3个，实际完成值：=</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个，指标完成率</w:t>
      </w:r>
      <w:r>
        <w:rPr>
          <w:rFonts w:hint="eastAsia" w:ascii="仿宋_GB2312" w:hAnsi="仿宋_GB2312" w:eastAsia="仿宋_GB2312" w:cs="仿宋_GB2312"/>
          <w:sz w:val="32"/>
          <w:szCs w:val="32"/>
          <w:highlight w:val="none"/>
          <w:lang w:val="en-US" w:eastAsia="zh-CN"/>
        </w:rPr>
        <w:t>66.67</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伊宁市解放路121号原办公楼的公共消防设施改造项目3.03万元未实施，因该办公楼产权由5家单位共有，层高13层，我局占一层产权，其他产权单位目前还未同意实施该项目，此项目暂不执行。</w:t>
      </w:r>
    </w:p>
    <w:p w14:paraId="1FADE85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：库房租赁面积（平方米），指标值：&gt;=100平方，实际完成值：=100平方，指标完成率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3282053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7C13C5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指标1：竣工验收合格率，指标值：&gt;=98%，实际完成值：=98%，指标完成率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212E563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：设备验收合格率，指标值：=100%，实际完成值：=100%，指标完成率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733E85F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675CD7C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指标1：设备采购完成时间，指标值：2024年11月30日，实际完成值：=2024年11月30日，指标完成率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74D1D2A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项目）工程按计划完工时间，指标值：2024年11月30日，实际完成值：=2024年11月30日，指标完成率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无偏差。</w:t>
      </w:r>
    </w:p>
    <w:p w14:paraId="784A6647">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5FC0E13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指标1：项目预算控制率，指标值：&lt;=100%，实际完成值：=62.56%，指标完成率</w:t>
      </w:r>
      <w:r>
        <w:rPr>
          <w:rFonts w:hint="eastAsia" w:ascii="仿宋_GB2312" w:hAnsi="仿宋_GB2312" w:eastAsia="仿宋_GB2312" w:cs="仿宋_GB2312"/>
          <w:sz w:val="32"/>
          <w:szCs w:val="32"/>
          <w:highlight w:val="none"/>
          <w:lang w:val="en-US" w:eastAsia="zh-CN"/>
        </w:rPr>
        <w:t>62.56</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w:t>
      </w:r>
      <w:r>
        <w:rPr>
          <w:rFonts w:hint="eastAsia" w:ascii="仿宋_GB2312" w:hAnsi="仿宋_GB2312" w:eastAsia="仿宋_GB2312" w:cs="仿宋_GB2312"/>
          <w:sz w:val="32"/>
          <w:szCs w:val="32"/>
          <w:highlight w:val="none"/>
          <w:lang w:val="en-US" w:eastAsia="zh-CN"/>
        </w:rPr>
        <w:t>1、租用2年无线电监测节点用房3.20万元项目未实施，因驻厅纪检组对此项目提出涉嫌给交流领导干部租房用，此项目不能实施；2、伊宁市解放路121号原办公楼的公共消防设施改造项目3.03万元未实施，因该办公楼产权由5家单位共有，层高13层，我局占一层产权，其他产权单位目前还未同意实施该项目，此项目暂不执行。</w:t>
      </w:r>
    </w:p>
    <w:p w14:paraId="4D184C6F">
      <w:pPr>
        <w:pStyle w:val="13"/>
        <w:pageBreakBefore w:val="0"/>
        <w:numPr>
          <w:ilvl w:val="0"/>
          <w:numId w:val="5"/>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2A79123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项目效益类指标包括项目实施效益和满意度两方面的内容，由1个三级指标构成，权重分为20分，实际得分20分，得分率为100%。具体效益指标及满意度指标完成情况如下：</w:t>
      </w:r>
    </w:p>
    <w:p w14:paraId="3F8B3ED1">
      <w:pPr>
        <w:pageBreakBefore w:val="0"/>
        <w:numPr>
          <w:ilvl w:val="0"/>
          <w:numId w:val="6"/>
        </w:numPr>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实施效益</w:t>
      </w:r>
    </w:p>
    <w:p w14:paraId="106793D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14:paraId="41D0BB9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color w:val="auto"/>
          <w:sz w:val="32"/>
          <w:szCs w:val="32"/>
          <w:highlight w:val="none"/>
          <w:lang w:val="en-US" w:eastAsia="zh-CN"/>
        </w:rPr>
        <w:t>单位正常运转率，</w:t>
      </w:r>
      <w:r>
        <w:rPr>
          <w:rFonts w:hint="eastAsia" w:ascii="仿宋_GB2312" w:hAnsi="仿宋_GB2312" w:eastAsia="仿宋_GB2312" w:cs="仿宋_GB2312"/>
          <w:color w:val="auto"/>
          <w:sz w:val="32"/>
          <w:szCs w:val="32"/>
          <w:highlight w:val="none"/>
        </w:rPr>
        <w:t>指标值：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偏差原因：无偏差</w:t>
      </w:r>
      <w:r>
        <w:rPr>
          <w:rFonts w:hint="default" w:ascii="Times New Roman" w:hAnsi="Times New Roman" w:eastAsia="仿宋_GB2312" w:cs="Times New Roman"/>
          <w:color w:val="auto"/>
          <w:sz w:val="32"/>
          <w:szCs w:val="32"/>
          <w:highlight w:val="none"/>
          <w:lang w:val="en-US" w:eastAsia="zh-CN"/>
        </w:rPr>
        <w:t>。</w:t>
      </w:r>
    </w:p>
    <w:p w14:paraId="7FC9F854">
      <w:pPr>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14:paraId="10BC8776">
      <w:pPr>
        <w:pStyle w:val="20"/>
        <w:pageBreakBefore w:val="0"/>
        <w:kinsoku/>
        <w:wordWrap/>
        <w:overflowPunct/>
        <w:topLinePunct w:val="0"/>
        <w:autoSpaceDE/>
        <w:autoSpaceDN/>
        <w:bidi w:val="0"/>
        <w:adjustRightInd/>
        <w:snapToGrid/>
        <w:spacing w:line="560" w:lineRule="exact"/>
        <w:ind w:firstLine="512"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w w:val="80"/>
          <w:kern w:val="0"/>
          <w:sz w:val="32"/>
          <w:szCs w:val="32"/>
          <w:highlight w:val="none"/>
          <w:u w:val="none"/>
        </w:rPr>
        <w:t>无线电资产运维及更新项目</w:t>
      </w:r>
      <w:r>
        <w:rPr>
          <w:rFonts w:hint="eastAsia" w:ascii="仿宋_GB2312" w:hAnsi="仿宋_GB2312" w:eastAsia="仿宋_GB2312" w:cs="仿宋_GB2312"/>
          <w:b w:val="0"/>
          <w:bCs w:val="0"/>
          <w:sz w:val="32"/>
          <w:szCs w:val="32"/>
          <w:highlight w:val="none"/>
        </w:rPr>
        <w:t>项目年初预算</w:t>
      </w:r>
      <w:r>
        <w:rPr>
          <w:rFonts w:hint="eastAsia" w:ascii="仿宋_GB2312" w:hAnsi="仿宋_GB2312" w:eastAsia="仿宋_GB2312" w:cs="仿宋_GB2312"/>
          <w:b w:val="0"/>
          <w:bCs w:val="0"/>
          <w:sz w:val="32"/>
          <w:szCs w:val="32"/>
          <w:highlight w:val="none"/>
          <w:lang w:val="en-US" w:eastAsia="zh-CN"/>
        </w:rPr>
        <w:t>17.87</w:t>
      </w:r>
      <w:r>
        <w:rPr>
          <w:rFonts w:hint="eastAsia" w:ascii="仿宋_GB2312" w:hAnsi="仿宋_GB2312" w:eastAsia="仿宋_GB2312" w:cs="仿宋_GB2312"/>
          <w:b w:val="0"/>
          <w:bCs w:val="0"/>
          <w:sz w:val="32"/>
          <w:szCs w:val="32"/>
          <w:highlight w:val="none"/>
        </w:rPr>
        <w:t>元，全年预算</w:t>
      </w:r>
      <w:r>
        <w:rPr>
          <w:rFonts w:hint="eastAsia" w:ascii="仿宋_GB2312" w:hAnsi="仿宋_GB2312" w:eastAsia="仿宋_GB2312" w:cs="仿宋_GB2312"/>
          <w:b w:val="0"/>
          <w:bCs w:val="0"/>
          <w:sz w:val="32"/>
          <w:szCs w:val="32"/>
          <w:highlight w:val="none"/>
          <w:lang w:val="en-US" w:eastAsia="zh-CN"/>
        </w:rPr>
        <w:t>17.87</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11.18</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62.56</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92.14</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rPr>
        <w:t>偏差率为</w:t>
      </w:r>
      <w:r>
        <w:rPr>
          <w:rFonts w:hint="eastAsia" w:ascii="仿宋_GB2312" w:hAnsi="仿宋_GB2312" w:eastAsia="仿宋_GB2312" w:cs="仿宋_GB2312"/>
          <w:b w:val="0"/>
          <w:bCs w:val="0"/>
          <w:sz w:val="32"/>
          <w:szCs w:val="32"/>
          <w:highlight w:val="none"/>
          <w:lang w:val="en-US" w:eastAsia="zh-CN"/>
        </w:rPr>
        <w:t>29.58</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eastAsia="zh-Hans"/>
        </w:rPr>
        <w:t>偏差</w:t>
      </w:r>
      <w:r>
        <w:rPr>
          <w:rFonts w:hint="eastAsia" w:ascii="仿宋_GB2312" w:hAnsi="仿宋_GB2312" w:eastAsia="仿宋_GB2312" w:cs="仿宋_GB2312"/>
          <w:b w:val="0"/>
          <w:bCs w:val="0"/>
          <w:sz w:val="32"/>
          <w:szCs w:val="32"/>
          <w:highlight w:val="none"/>
        </w:rPr>
        <w:t>原因</w:t>
      </w:r>
      <w:r>
        <w:rPr>
          <w:rFonts w:hint="eastAsia" w:ascii="仿宋_GB2312" w:hAnsi="仿宋_GB2312" w:eastAsia="仿宋_GB2312" w:cs="仿宋_GB2312"/>
          <w:b w:val="0"/>
          <w:bCs w:val="0"/>
          <w:sz w:val="32"/>
          <w:szCs w:val="32"/>
          <w:highlight w:val="none"/>
          <w:lang w:val="en-US" w:eastAsia="zh-CN"/>
        </w:rPr>
        <w:t>主要是预算执行率偏低，因</w:t>
      </w:r>
      <w:r>
        <w:rPr>
          <w:rFonts w:hint="eastAsia" w:ascii="仿宋_GB2312" w:hAnsi="仿宋_GB2312" w:eastAsia="仿宋_GB2312" w:cs="仿宋_GB2312"/>
          <w:b w:val="0"/>
          <w:bCs w:val="0"/>
          <w:sz w:val="32"/>
          <w:szCs w:val="32"/>
          <w:highlight w:val="none"/>
        </w:rPr>
        <w:t>无线电资产运维及更新项目</w:t>
      </w:r>
      <w:r>
        <w:rPr>
          <w:rFonts w:hint="eastAsia" w:ascii="仿宋_GB2312" w:hAnsi="仿宋_GB2312" w:eastAsia="仿宋_GB2312" w:cs="仿宋_GB2312"/>
          <w:b w:val="0"/>
          <w:bCs w:val="0"/>
          <w:color w:val="auto"/>
          <w:sz w:val="32"/>
          <w:szCs w:val="32"/>
          <w:highlight w:val="none"/>
        </w:rPr>
        <w:t>中</w:t>
      </w:r>
      <w:r>
        <w:rPr>
          <w:rFonts w:hint="eastAsia" w:ascii="仿宋_GB2312" w:hAnsi="仿宋_GB2312" w:eastAsia="仿宋_GB2312" w:cs="仿宋_GB2312"/>
          <w:b w:val="0"/>
          <w:bCs w:val="0"/>
          <w:color w:val="auto"/>
          <w:sz w:val="32"/>
          <w:szCs w:val="32"/>
          <w:highlight w:val="none"/>
          <w:lang w:val="en-US" w:eastAsia="zh-CN"/>
        </w:rPr>
        <w:t>有</w:t>
      </w:r>
      <w:r>
        <w:rPr>
          <w:rFonts w:hint="eastAsia" w:ascii="仿宋_GB2312" w:hAnsi="仿宋_GB2312" w:eastAsia="仿宋_GB2312" w:cs="仿宋_GB2312"/>
          <w:b w:val="0"/>
          <w:bCs w:val="0"/>
          <w:color w:val="auto"/>
          <w:sz w:val="32"/>
          <w:szCs w:val="32"/>
          <w:highlight w:val="none"/>
        </w:rPr>
        <w:t>两个项目6.23万元未执行，其中：1、租用2年无线电监</w:t>
      </w:r>
      <w:r>
        <w:rPr>
          <w:rFonts w:hint="eastAsia" w:ascii="仿宋_GB2312" w:hAnsi="仿宋_GB2312" w:eastAsia="仿宋_GB2312" w:cs="仿宋_GB2312"/>
          <w:b w:val="0"/>
          <w:bCs w:val="0"/>
          <w:sz w:val="32"/>
          <w:szCs w:val="32"/>
          <w:highlight w:val="none"/>
        </w:rPr>
        <w:t>测节点用房3.20万元项目未实施，因驻厅纪检组对此项目提出涉嫌给交流领导干部租房用，此项目</w:t>
      </w:r>
      <w:r>
        <w:rPr>
          <w:rFonts w:hint="eastAsia" w:ascii="仿宋_GB2312" w:hAnsi="仿宋_GB2312" w:eastAsia="仿宋_GB2312" w:cs="仿宋_GB2312"/>
          <w:b w:val="0"/>
          <w:bCs w:val="0"/>
          <w:sz w:val="32"/>
          <w:szCs w:val="32"/>
          <w:highlight w:val="none"/>
          <w:lang w:val="en-US" w:eastAsia="zh-CN"/>
        </w:rPr>
        <w:t>不能</w:t>
      </w:r>
      <w:r>
        <w:rPr>
          <w:rFonts w:hint="eastAsia" w:ascii="仿宋_GB2312" w:hAnsi="仿宋_GB2312" w:eastAsia="仿宋_GB2312" w:cs="仿宋_GB2312"/>
          <w:b w:val="0"/>
          <w:bCs w:val="0"/>
          <w:sz w:val="32"/>
          <w:szCs w:val="32"/>
          <w:highlight w:val="none"/>
        </w:rPr>
        <w:t>实施；2、伊宁市解放路121号原办公楼的公共消防设施改造项目3.03万元未实施，因该办公楼产权由5家单位共有，层高13层，我局占一层产权，其他产权单位目前还未同意实施该项目，此项目暂不执行。</w:t>
      </w:r>
      <w:r>
        <w:rPr>
          <w:rFonts w:hint="eastAsia" w:ascii="仿宋_GB2312" w:hAnsi="仿宋_GB2312" w:eastAsia="仿宋_GB2312" w:cs="仿宋_GB2312"/>
          <w:b w:val="0"/>
          <w:bCs w:val="0"/>
          <w:sz w:val="32"/>
          <w:szCs w:val="32"/>
          <w:highlight w:val="none"/>
          <w:lang w:eastAsia="zh-Hans"/>
        </w:rPr>
        <w:t>改进</w:t>
      </w:r>
      <w:r>
        <w:rPr>
          <w:rFonts w:hint="eastAsia" w:ascii="仿宋_GB2312" w:hAnsi="仿宋_GB2312" w:eastAsia="仿宋_GB2312" w:cs="仿宋_GB2312"/>
          <w:b w:val="0"/>
          <w:bCs w:val="0"/>
          <w:sz w:val="32"/>
          <w:szCs w:val="32"/>
          <w:highlight w:val="none"/>
        </w:rPr>
        <w:t>措施</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后续项目预算编制时，充分考量 “厉行节约、提质增效” 原则，提前精准预估各项支出，将节约资金的目标融入预算明细规划，提高预算编制的准确性与前瞻性。</w:t>
      </w:r>
    </w:p>
    <w:p w14:paraId="74A58FA7">
      <w:pPr>
        <w:pageBreakBefore w:val="0"/>
        <w:kinsoku/>
        <w:wordWrap/>
        <w:overflowPunct/>
        <w:topLinePunct w:val="0"/>
        <w:autoSpaceDE/>
        <w:autoSpaceDN/>
        <w:bidi w:val="0"/>
        <w:adjustRightInd/>
        <w:snapToGrid/>
        <w:spacing w:line="560" w:lineRule="exact"/>
        <w:ind w:firstLine="640" w:firstLineChars="200"/>
        <w:textAlignment w:val="auto"/>
        <w:rPr>
          <w:rStyle w:val="19"/>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487B7DD8">
      <w:pPr>
        <w:pageBreakBefore w:val="0"/>
        <w:kinsoku/>
        <w:wordWrap/>
        <w:overflowPunct/>
        <w:topLinePunct w:val="0"/>
        <w:autoSpaceDE/>
        <w:autoSpaceDN/>
        <w:bidi w:val="0"/>
        <w:adjustRightInd/>
        <w:snapToGrid/>
        <w:spacing w:line="560" w:lineRule="exact"/>
        <w:ind w:firstLine="627" w:firstLineChars="200"/>
        <w:textAlignment w:val="auto"/>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180EA04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2C53200">
      <w:pPr>
        <w:pStyle w:val="11"/>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596B5AA">
      <w:pPr>
        <w:keepNext/>
        <w:keepLines/>
        <w:pageBreakBefore w:val="0"/>
        <w:numPr>
          <w:ilvl w:val="0"/>
          <w:numId w:val="7"/>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7A12B17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0AFC939">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2.因轮岗、调动等因素使我单位绩效工作人员流动频繁，造成工作衔接不到位的情况。</w:t>
      </w:r>
    </w:p>
    <w:p w14:paraId="68662584">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绩效结果运用的制度保障和激励机制缺失，未奖评价结果有效纳入考核体系；部门间协同整改的职责划分不清晰，缺乏跟踪督办机制。绩效评价结果与后续预算安排、项目管理优化关联度较低，部分问题整改落实不到位，存在“重评价、轻应用”现象。</w:t>
      </w:r>
    </w:p>
    <w:p w14:paraId="6844421F">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39B5F2C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624ADE8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370C4D1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92C331C">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2"/>
          <w:szCs w:val="32"/>
        </w:rPr>
        <w:t>。</w:t>
      </w:r>
    </w:p>
    <w:p w14:paraId="1A850DA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0E54B7BF">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03482F40">
      <w:pPr>
        <w:pStyle w:val="14"/>
        <w:pageBreakBefore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5A00E36E">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7DE9CA03">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0F861EC2">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3B74A0BB">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7543271C">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249FD01D">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4F090E4A">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5C398203">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65314C98">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4CFDE2C1">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6D6A6778">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2CA76456">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619237A9">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140C5BC3">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367836E8">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069DD22D">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795A80B9">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689B312C">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7020F2B1">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2205C46A">
      <w:pPr>
        <w:pStyle w:val="14"/>
        <w:spacing w:after="0" w:line="560" w:lineRule="exact"/>
        <w:ind w:left="0" w:leftChars="0" w:firstLine="640"/>
        <w:rPr>
          <w:rFonts w:hint="eastAsia" w:ascii="Times New Roman" w:hAnsi="Times New Roman" w:eastAsia="仿宋_GB2312" w:cs="Times New Roman"/>
          <w:sz w:val="32"/>
          <w:szCs w:val="32"/>
          <w:lang w:eastAsia="zh-CN"/>
        </w:rPr>
      </w:pPr>
    </w:p>
    <w:p w14:paraId="3FEA0073">
      <w:pPr>
        <w:spacing w:line="600" w:lineRule="exact"/>
        <w:rPr>
          <w:rFonts w:hint="eastAsia" w:ascii="仿宋_GB2312" w:hAnsi="仿宋_GB2312" w:eastAsia="仿宋_GB2312" w:cs="仿宋_GB2312"/>
          <w:sz w:val="32"/>
          <w:szCs w:val="32"/>
          <w:highlight w:val="none"/>
          <w:lang w:val="en-US" w:eastAsia="zh-CN"/>
        </w:rPr>
        <w:sectPr>
          <w:footerReference r:id="rId3" w:type="default"/>
          <w:pgSz w:w="11906" w:h="16838"/>
          <w:pgMar w:top="1440" w:right="1558" w:bottom="1440" w:left="1800" w:header="851" w:footer="992" w:gutter="0"/>
          <w:cols w:space="425" w:num="1"/>
          <w:docGrid w:type="lines" w:linePitch="312" w:charSpace="0"/>
        </w:sectPr>
      </w:pPr>
    </w:p>
    <w:p w14:paraId="328747F9">
      <w:pPr>
        <w:spacing w:line="600" w:lineRule="exact"/>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附件1</w:t>
      </w:r>
    </w:p>
    <w:p w14:paraId="61CD50E0">
      <w:pPr>
        <w:pStyle w:val="20"/>
        <w:ind w:firstLine="562"/>
        <w:jc w:val="center"/>
        <w:rPr>
          <w:rFonts w:hint="eastAsia" w:ascii="仿宋_GB2312" w:hAnsi="仿宋_GB2312" w:eastAsia="仿宋_GB2312" w:cs="仿宋_GB2312"/>
          <w:b/>
          <w:bCs/>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32"/>
          <w:szCs w:val="32"/>
          <w:highlight w:val="none"/>
          <w:lang w:val="en-US" w:eastAsia="zh-CN"/>
        </w:rPr>
        <w:t>无线电资产运维及更新项目</w:t>
      </w:r>
      <w:r>
        <w:rPr>
          <w:rFonts w:hint="eastAsia" w:ascii="仿宋_GB2312" w:hAnsi="仿宋_GB2312" w:eastAsia="仿宋_GB2312" w:cs="仿宋_GB2312"/>
          <w:b/>
          <w:bCs/>
          <w:sz w:val="32"/>
          <w:szCs w:val="32"/>
          <w:highlight w:val="none"/>
        </w:rPr>
        <w:t>项目绩</w:t>
      </w:r>
      <w:r>
        <w:rPr>
          <w:rFonts w:hint="eastAsia" w:ascii="仿宋_GB2312" w:hAnsi="仿宋_GB2312" w:eastAsia="仿宋_GB2312" w:cs="仿宋_GB2312"/>
          <w:b/>
          <w:bCs/>
          <w:sz w:val="28"/>
          <w:szCs w:val="40"/>
          <w:highlight w:val="none"/>
        </w:rPr>
        <w:t>效评价指标体系及</w:t>
      </w:r>
    </w:p>
    <w:p w14:paraId="6AD29D36">
      <w:pPr>
        <w:pStyle w:val="20"/>
        <w:ind w:firstLine="562"/>
        <w:jc w:val="center"/>
        <w:rPr>
          <w:rFonts w:hint="eastAsia" w:ascii="仿宋_GB2312" w:hAnsi="仿宋_GB2312" w:eastAsia="仿宋_GB2312" w:cs="仿宋_GB2312"/>
          <w:sz w:val="28"/>
          <w:szCs w:val="40"/>
          <w:highlight w:val="none"/>
        </w:rPr>
      </w:pPr>
      <w:r>
        <w:rPr>
          <w:rFonts w:hint="eastAsia" w:ascii="仿宋_GB2312" w:hAnsi="仿宋_GB2312" w:eastAsia="仿宋_GB2312" w:cs="仿宋_GB2312"/>
          <w:b/>
          <w:bCs/>
          <w:sz w:val="28"/>
          <w:szCs w:val="40"/>
          <w:highlight w:val="none"/>
        </w:rPr>
        <w:t>综合评分表</w:t>
      </w:r>
      <w:bookmarkEnd w:id="1"/>
      <w:bookmarkEnd w:id="2"/>
    </w:p>
    <w:tbl>
      <w:tblPr>
        <w:tblStyle w:val="15"/>
        <w:tblW w:w="123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47"/>
        <w:gridCol w:w="1412"/>
        <w:gridCol w:w="1844"/>
        <w:gridCol w:w="1926"/>
        <w:gridCol w:w="3767"/>
        <w:gridCol w:w="1111"/>
        <w:gridCol w:w="1107"/>
      </w:tblGrid>
      <w:tr w14:paraId="4E083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147" w:type="dxa"/>
            <w:shd w:val="clear" w:color="auto" w:fill="FFFFFF"/>
            <w:vAlign w:val="center"/>
          </w:tcPr>
          <w:p w14:paraId="457D30D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412" w:type="dxa"/>
            <w:shd w:val="clear" w:color="auto" w:fill="FFFFFF"/>
            <w:vAlign w:val="center"/>
          </w:tcPr>
          <w:p w14:paraId="76327CA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844" w:type="dxa"/>
            <w:shd w:val="clear" w:color="auto" w:fill="FFFFFF"/>
            <w:vAlign w:val="center"/>
          </w:tcPr>
          <w:p w14:paraId="703B936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926" w:type="dxa"/>
            <w:shd w:val="clear" w:color="auto" w:fill="FFFFFF"/>
            <w:vAlign w:val="center"/>
          </w:tcPr>
          <w:p w14:paraId="3A84155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3767" w:type="dxa"/>
            <w:shd w:val="clear" w:color="auto" w:fill="FFFFFF"/>
            <w:vAlign w:val="center"/>
          </w:tcPr>
          <w:p w14:paraId="560AB8C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111" w:type="dxa"/>
            <w:shd w:val="clear" w:color="auto" w:fill="FFFFFF"/>
            <w:vAlign w:val="center"/>
          </w:tcPr>
          <w:p w14:paraId="5F71A2F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107" w:type="dxa"/>
            <w:shd w:val="clear" w:color="auto" w:fill="FFFFFF"/>
            <w:vAlign w:val="center"/>
          </w:tcPr>
          <w:p w14:paraId="78A87B2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14EAC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147" w:type="dxa"/>
            <w:vMerge w:val="restart"/>
            <w:shd w:val="clear" w:color="auto" w:fill="FFFFFF"/>
            <w:vAlign w:val="center"/>
          </w:tcPr>
          <w:p w14:paraId="5801060F">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86BC8F9">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B8A5CBA">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B296AE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799629C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5A1975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44071C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412" w:type="dxa"/>
            <w:vMerge w:val="restart"/>
            <w:shd w:val="clear" w:color="auto" w:fill="FFFFFF"/>
            <w:vAlign w:val="center"/>
          </w:tcPr>
          <w:p w14:paraId="2BB0D09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844" w:type="dxa"/>
            <w:shd w:val="clear" w:color="auto" w:fill="FFFFFF"/>
            <w:vAlign w:val="center"/>
          </w:tcPr>
          <w:p w14:paraId="1482AB4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55BFE3C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926" w:type="dxa"/>
            <w:shd w:val="clear" w:color="auto" w:fill="FFFFFF"/>
            <w:vAlign w:val="center"/>
          </w:tcPr>
          <w:p w14:paraId="34A87D7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3767" w:type="dxa"/>
            <w:shd w:val="clear" w:color="auto" w:fill="FFFFFF"/>
            <w:vAlign w:val="center"/>
          </w:tcPr>
          <w:p w14:paraId="4DA7B2C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111" w:type="dxa"/>
            <w:shd w:val="clear" w:color="auto" w:fill="FFFFFF"/>
            <w:vAlign w:val="center"/>
          </w:tcPr>
          <w:p w14:paraId="128C87A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107" w:type="dxa"/>
            <w:shd w:val="clear" w:color="auto" w:fill="FFFFFF"/>
            <w:vAlign w:val="center"/>
          </w:tcPr>
          <w:p w14:paraId="73BA092C">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p w14:paraId="4056F0EE">
            <w:pPr>
              <w:widowControl/>
              <w:spacing w:line="0" w:lineRule="atLeast"/>
              <w:jc w:val="center"/>
              <w:rPr>
                <w:rFonts w:hint="default" w:ascii="Times New Roman" w:hAnsi="Times New Roman" w:eastAsia="仿宋_GB2312" w:cs="Times New Roman"/>
                <w:b/>
                <w:bCs/>
                <w:color w:val="000000"/>
                <w:kern w:val="0"/>
                <w:sz w:val="18"/>
                <w:szCs w:val="18"/>
                <w:highlight w:val="none"/>
              </w:rPr>
            </w:pPr>
          </w:p>
        </w:tc>
      </w:tr>
      <w:tr w14:paraId="550CE6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147" w:type="dxa"/>
            <w:vMerge w:val="continue"/>
            <w:shd w:val="clear" w:color="auto" w:fill="FFFFFF"/>
            <w:vAlign w:val="center"/>
          </w:tcPr>
          <w:p w14:paraId="6B0FA631">
            <w:pPr>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continue"/>
            <w:shd w:val="clear" w:color="auto" w:fill="FFFFFF"/>
            <w:vAlign w:val="center"/>
          </w:tcPr>
          <w:p w14:paraId="2CBF5ED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844" w:type="dxa"/>
            <w:shd w:val="clear" w:color="auto" w:fill="FFFFFF"/>
            <w:vAlign w:val="center"/>
          </w:tcPr>
          <w:p w14:paraId="4CBE4DC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0185067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926" w:type="dxa"/>
            <w:shd w:val="clear" w:color="auto" w:fill="FFFFFF"/>
            <w:vAlign w:val="center"/>
          </w:tcPr>
          <w:p w14:paraId="7E8263B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3767" w:type="dxa"/>
            <w:shd w:val="clear" w:color="auto" w:fill="FFFFFF"/>
            <w:vAlign w:val="center"/>
          </w:tcPr>
          <w:p w14:paraId="7B3650A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111" w:type="dxa"/>
            <w:shd w:val="clear" w:color="auto" w:fill="FFFFFF"/>
            <w:vAlign w:val="center"/>
          </w:tcPr>
          <w:p w14:paraId="23006EC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107" w:type="dxa"/>
            <w:shd w:val="clear" w:color="auto" w:fill="FFFFFF"/>
            <w:vAlign w:val="center"/>
          </w:tcPr>
          <w:p w14:paraId="7DAF77B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7732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147" w:type="dxa"/>
            <w:vMerge w:val="continue"/>
            <w:shd w:val="clear" w:color="auto" w:fill="FFFFFF"/>
            <w:vAlign w:val="center"/>
          </w:tcPr>
          <w:p w14:paraId="69C66DF9">
            <w:pPr>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restart"/>
            <w:shd w:val="clear" w:color="auto" w:fill="FFFFFF"/>
            <w:vAlign w:val="center"/>
          </w:tcPr>
          <w:p w14:paraId="6F0561C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844" w:type="dxa"/>
            <w:shd w:val="clear" w:color="auto" w:fill="FFFFFF"/>
            <w:vAlign w:val="center"/>
          </w:tcPr>
          <w:p w14:paraId="413BF0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15EB2AC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926" w:type="dxa"/>
            <w:shd w:val="clear" w:color="000000" w:fill="FFFFFF"/>
            <w:vAlign w:val="center"/>
          </w:tcPr>
          <w:p w14:paraId="464C0D3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3767" w:type="dxa"/>
            <w:shd w:val="clear" w:color="000000" w:fill="FFFFFF"/>
            <w:vAlign w:val="center"/>
          </w:tcPr>
          <w:p w14:paraId="43708003">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125FC90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111" w:type="dxa"/>
            <w:shd w:val="clear" w:color="000000" w:fill="FFFFFF"/>
            <w:vAlign w:val="center"/>
          </w:tcPr>
          <w:p w14:paraId="45A8FEC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107" w:type="dxa"/>
            <w:shd w:val="clear" w:color="000000" w:fill="FFFFFF"/>
            <w:vAlign w:val="center"/>
          </w:tcPr>
          <w:p w14:paraId="4D32236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21153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47" w:type="dxa"/>
            <w:vMerge w:val="continue"/>
            <w:shd w:val="clear" w:color="auto" w:fill="FFFFFF"/>
            <w:vAlign w:val="center"/>
          </w:tcPr>
          <w:p w14:paraId="35FC653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continue"/>
            <w:shd w:val="clear" w:color="auto" w:fill="FFFFFF"/>
            <w:vAlign w:val="center"/>
          </w:tcPr>
          <w:p w14:paraId="402F7FB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844" w:type="dxa"/>
            <w:shd w:val="clear" w:color="auto" w:fill="FFFFFF"/>
            <w:vAlign w:val="center"/>
          </w:tcPr>
          <w:p w14:paraId="109877C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3B862A0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926" w:type="dxa"/>
            <w:shd w:val="clear" w:color="000000" w:fill="FFFFFF"/>
            <w:vAlign w:val="center"/>
          </w:tcPr>
          <w:p w14:paraId="3C8A4D3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3767" w:type="dxa"/>
            <w:shd w:val="clear" w:color="000000" w:fill="FFFFFF"/>
            <w:vAlign w:val="center"/>
          </w:tcPr>
          <w:p w14:paraId="3B62B66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111" w:type="dxa"/>
            <w:shd w:val="clear" w:color="000000" w:fill="FFFFFF"/>
            <w:vAlign w:val="center"/>
          </w:tcPr>
          <w:p w14:paraId="18CEA01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107" w:type="dxa"/>
            <w:shd w:val="clear" w:color="000000" w:fill="FFFFFF"/>
            <w:vAlign w:val="center"/>
          </w:tcPr>
          <w:p w14:paraId="27C7D350">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75E0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47" w:type="dxa"/>
            <w:vMerge w:val="continue"/>
            <w:shd w:val="clear" w:color="auto" w:fill="FFFFFF"/>
            <w:vAlign w:val="center"/>
          </w:tcPr>
          <w:p w14:paraId="781A1E09">
            <w:pPr>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restart"/>
            <w:shd w:val="clear" w:color="auto" w:fill="FFFFFF"/>
            <w:vAlign w:val="center"/>
          </w:tcPr>
          <w:p w14:paraId="6B469EE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02EA00AD">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844" w:type="dxa"/>
            <w:shd w:val="clear" w:color="auto" w:fill="FFFFFF"/>
            <w:vAlign w:val="center"/>
          </w:tcPr>
          <w:p w14:paraId="390906F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53C931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926" w:type="dxa"/>
            <w:shd w:val="clear" w:color="auto" w:fill="FFFFFF"/>
            <w:vAlign w:val="center"/>
          </w:tcPr>
          <w:p w14:paraId="53C1194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3767" w:type="dxa"/>
            <w:shd w:val="clear" w:color="auto" w:fill="FFFFFF"/>
            <w:vAlign w:val="center"/>
          </w:tcPr>
          <w:p w14:paraId="7CE10CB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111" w:type="dxa"/>
            <w:shd w:val="clear" w:color="auto" w:fill="FFFFFF"/>
            <w:vAlign w:val="center"/>
          </w:tcPr>
          <w:p w14:paraId="4EC715E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07" w:type="dxa"/>
            <w:shd w:val="clear" w:color="auto" w:fill="FFFFFF"/>
            <w:vAlign w:val="center"/>
          </w:tcPr>
          <w:p w14:paraId="3DD759D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3434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47" w:type="dxa"/>
            <w:vMerge w:val="continue"/>
            <w:shd w:val="clear" w:color="auto" w:fill="FFFFFF"/>
            <w:vAlign w:val="center"/>
          </w:tcPr>
          <w:p w14:paraId="0EB048C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continue"/>
            <w:shd w:val="clear" w:color="auto" w:fill="FFFFFF"/>
            <w:vAlign w:val="center"/>
          </w:tcPr>
          <w:p w14:paraId="5108CBE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844" w:type="dxa"/>
            <w:shd w:val="clear" w:color="auto" w:fill="FFFFFF"/>
            <w:vAlign w:val="center"/>
          </w:tcPr>
          <w:p w14:paraId="6BA0447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06ECB95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926" w:type="dxa"/>
            <w:shd w:val="clear" w:color="auto" w:fill="FFFFFF"/>
            <w:vAlign w:val="center"/>
          </w:tcPr>
          <w:p w14:paraId="0362307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3767" w:type="dxa"/>
            <w:shd w:val="clear" w:color="auto" w:fill="FFFFFF"/>
            <w:vAlign w:val="center"/>
          </w:tcPr>
          <w:p w14:paraId="689AACD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111" w:type="dxa"/>
            <w:shd w:val="clear" w:color="auto" w:fill="FFFFFF"/>
            <w:vAlign w:val="center"/>
          </w:tcPr>
          <w:p w14:paraId="663F02B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07" w:type="dxa"/>
            <w:shd w:val="clear" w:color="auto" w:fill="FFFFFF"/>
            <w:vAlign w:val="center"/>
          </w:tcPr>
          <w:p w14:paraId="0847C70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8E56E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47" w:type="dxa"/>
            <w:vMerge w:val="restart"/>
            <w:shd w:val="clear" w:color="auto" w:fill="FFFFFF"/>
            <w:vAlign w:val="center"/>
          </w:tcPr>
          <w:p w14:paraId="7E630E0D">
            <w:pPr>
              <w:spacing w:line="0" w:lineRule="atLeast"/>
              <w:jc w:val="center"/>
              <w:rPr>
                <w:rFonts w:hint="default" w:ascii="Times New Roman" w:hAnsi="Times New Roman" w:eastAsia="仿宋_GB2312" w:cs="Times New Roman"/>
                <w:color w:val="000000"/>
                <w:kern w:val="0"/>
                <w:sz w:val="18"/>
                <w:szCs w:val="18"/>
                <w:highlight w:val="none"/>
              </w:rPr>
            </w:pPr>
          </w:p>
          <w:p w14:paraId="78A4DED3">
            <w:pPr>
              <w:spacing w:line="0" w:lineRule="atLeast"/>
              <w:jc w:val="center"/>
              <w:rPr>
                <w:rFonts w:hint="default" w:ascii="Times New Roman" w:hAnsi="Times New Roman" w:eastAsia="仿宋_GB2312" w:cs="Times New Roman"/>
                <w:color w:val="000000"/>
                <w:kern w:val="0"/>
                <w:sz w:val="18"/>
                <w:szCs w:val="18"/>
                <w:highlight w:val="none"/>
              </w:rPr>
            </w:pPr>
          </w:p>
          <w:p w14:paraId="531967C6">
            <w:pPr>
              <w:spacing w:line="0" w:lineRule="atLeast"/>
              <w:jc w:val="center"/>
              <w:rPr>
                <w:rFonts w:hint="default" w:ascii="Times New Roman" w:hAnsi="Times New Roman" w:eastAsia="仿宋_GB2312" w:cs="Times New Roman"/>
                <w:color w:val="000000"/>
                <w:kern w:val="0"/>
                <w:sz w:val="18"/>
                <w:szCs w:val="18"/>
                <w:highlight w:val="none"/>
              </w:rPr>
            </w:pPr>
          </w:p>
          <w:p w14:paraId="272CC9B8">
            <w:pPr>
              <w:spacing w:line="0" w:lineRule="atLeast"/>
              <w:jc w:val="center"/>
              <w:rPr>
                <w:rFonts w:hint="default" w:ascii="Times New Roman" w:hAnsi="Times New Roman" w:eastAsia="仿宋_GB2312" w:cs="Times New Roman"/>
                <w:color w:val="000000"/>
                <w:kern w:val="0"/>
                <w:sz w:val="18"/>
                <w:szCs w:val="18"/>
                <w:highlight w:val="none"/>
              </w:rPr>
            </w:pPr>
          </w:p>
          <w:p w14:paraId="1E18188F">
            <w:pPr>
              <w:spacing w:line="0" w:lineRule="atLeast"/>
              <w:jc w:val="center"/>
              <w:rPr>
                <w:rFonts w:hint="default" w:ascii="Times New Roman" w:hAnsi="Times New Roman" w:eastAsia="仿宋_GB2312" w:cs="Times New Roman"/>
                <w:color w:val="000000"/>
                <w:kern w:val="0"/>
                <w:sz w:val="18"/>
                <w:szCs w:val="18"/>
                <w:highlight w:val="none"/>
              </w:rPr>
            </w:pPr>
          </w:p>
          <w:p w14:paraId="0498D878">
            <w:pPr>
              <w:spacing w:line="0" w:lineRule="atLeast"/>
              <w:jc w:val="center"/>
              <w:rPr>
                <w:rFonts w:hint="default" w:ascii="Times New Roman" w:hAnsi="Times New Roman" w:eastAsia="仿宋_GB2312" w:cs="Times New Roman"/>
                <w:color w:val="000000"/>
                <w:kern w:val="0"/>
                <w:sz w:val="18"/>
                <w:szCs w:val="18"/>
                <w:highlight w:val="none"/>
              </w:rPr>
            </w:pPr>
          </w:p>
          <w:p w14:paraId="5EE026B0">
            <w:pPr>
              <w:spacing w:line="0" w:lineRule="atLeast"/>
              <w:jc w:val="center"/>
              <w:rPr>
                <w:rFonts w:hint="default" w:ascii="Times New Roman" w:hAnsi="Times New Roman" w:eastAsia="仿宋_GB2312" w:cs="Times New Roman"/>
                <w:color w:val="000000"/>
                <w:kern w:val="0"/>
                <w:sz w:val="18"/>
                <w:szCs w:val="18"/>
                <w:highlight w:val="none"/>
              </w:rPr>
            </w:pPr>
          </w:p>
          <w:p w14:paraId="07BCE705">
            <w:pPr>
              <w:spacing w:line="0" w:lineRule="atLeast"/>
              <w:jc w:val="center"/>
              <w:rPr>
                <w:rFonts w:hint="default" w:ascii="Times New Roman" w:hAnsi="Times New Roman" w:eastAsia="仿宋_GB2312" w:cs="Times New Roman"/>
                <w:color w:val="000000"/>
                <w:kern w:val="0"/>
                <w:sz w:val="18"/>
                <w:szCs w:val="18"/>
                <w:highlight w:val="none"/>
              </w:rPr>
            </w:pPr>
          </w:p>
          <w:p w14:paraId="4F187AD4">
            <w:pPr>
              <w:spacing w:line="0" w:lineRule="atLeast"/>
              <w:jc w:val="center"/>
              <w:rPr>
                <w:rFonts w:hint="default" w:ascii="Times New Roman" w:hAnsi="Times New Roman" w:eastAsia="仿宋_GB2312" w:cs="Times New Roman"/>
                <w:color w:val="000000"/>
                <w:kern w:val="0"/>
                <w:sz w:val="18"/>
                <w:szCs w:val="18"/>
                <w:highlight w:val="none"/>
              </w:rPr>
            </w:pPr>
          </w:p>
          <w:p w14:paraId="2C65AE59">
            <w:pPr>
              <w:spacing w:line="0" w:lineRule="atLeast"/>
              <w:jc w:val="center"/>
              <w:rPr>
                <w:rFonts w:hint="default" w:ascii="Times New Roman" w:hAnsi="Times New Roman" w:eastAsia="仿宋_GB2312" w:cs="Times New Roman"/>
                <w:color w:val="000000"/>
                <w:kern w:val="0"/>
                <w:sz w:val="18"/>
                <w:szCs w:val="18"/>
                <w:highlight w:val="none"/>
              </w:rPr>
            </w:pPr>
          </w:p>
          <w:p w14:paraId="09D69158">
            <w:pPr>
              <w:spacing w:line="0" w:lineRule="atLeast"/>
              <w:jc w:val="center"/>
              <w:rPr>
                <w:rFonts w:hint="default" w:ascii="Times New Roman" w:hAnsi="Times New Roman" w:eastAsia="仿宋_GB2312" w:cs="Times New Roman"/>
                <w:color w:val="000000"/>
                <w:kern w:val="0"/>
                <w:sz w:val="18"/>
                <w:szCs w:val="18"/>
                <w:highlight w:val="none"/>
              </w:rPr>
            </w:pPr>
          </w:p>
          <w:p w14:paraId="6D2EF625">
            <w:pPr>
              <w:spacing w:line="0" w:lineRule="atLeast"/>
              <w:jc w:val="center"/>
              <w:rPr>
                <w:rFonts w:hint="default" w:ascii="Times New Roman" w:hAnsi="Times New Roman" w:eastAsia="仿宋_GB2312" w:cs="Times New Roman"/>
                <w:color w:val="000000"/>
                <w:kern w:val="0"/>
                <w:sz w:val="18"/>
                <w:szCs w:val="18"/>
                <w:highlight w:val="none"/>
              </w:rPr>
            </w:pPr>
          </w:p>
          <w:p w14:paraId="297EDF41">
            <w:pPr>
              <w:spacing w:line="0" w:lineRule="atLeast"/>
              <w:jc w:val="center"/>
              <w:rPr>
                <w:rFonts w:hint="default" w:ascii="Times New Roman" w:hAnsi="Times New Roman" w:eastAsia="仿宋_GB2312" w:cs="Times New Roman"/>
                <w:color w:val="000000"/>
                <w:kern w:val="0"/>
                <w:sz w:val="18"/>
                <w:szCs w:val="18"/>
                <w:highlight w:val="none"/>
              </w:rPr>
            </w:pPr>
          </w:p>
          <w:p w14:paraId="6B098ECB">
            <w:pPr>
              <w:spacing w:line="0" w:lineRule="atLeast"/>
              <w:jc w:val="center"/>
              <w:rPr>
                <w:rFonts w:hint="default" w:ascii="Times New Roman" w:hAnsi="Times New Roman" w:eastAsia="仿宋_GB2312" w:cs="Times New Roman"/>
                <w:color w:val="000000"/>
                <w:kern w:val="0"/>
                <w:sz w:val="18"/>
                <w:szCs w:val="18"/>
                <w:highlight w:val="none"/>
              </w:rPr>
            </w:pPr>
          </w:p>
          <w:p w14:paraId="2924BAA1">
            <w:pPr>
              <w:spacing w:line="0" w:lineRule="atLeast"/>
              <w:jc w:val="center"/>
              <w:rPr>
                <w:rFonts w:hint="default" w:ascii="Times New Roman" w:hAnsi="Times New Roman" w:eastAsia="仿宋_GB2312" w:cs="Times New Roman"/>
                <w:color w:val="000000"/>
                <w:kern w:val="0"/>
                <w:sz w:val="18"/>
                <w:szCs w:val="18"/>
                <w:highlight w:val="none"/>
              </w:rPr>
            </w:pPr>
          </w:p>
          <w:p w14:paraId="599D163D">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7DBD162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412" w:type="dxa"/>
            <w:vMerge w:val="restart"/>
            <w:shd w:val="clear" w:color="auto" w:fill="FFFFFF"/>
            <w:vAlign w:val="center"/>
          </w:tcPr>
          <w:p w14:paraId="390511C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844" w:type="dxa"/>
            <w:shd w:val="clear" w:color="auto" w:fill="FFFFFF"/>
            <w:vAlign w:val="center"/>
          </w:tcPr>
          <w:p w14:paraId="12CADDA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926" w:type="dxa"/>
            <w:shd w:val="clear" w:color="000000" w:fill="FFFFFF"/>
            <w:vAlign w:val="center"/>
          </w:tcPr>
          <w:p w14:paraId="6C532B1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3767" w:type="dxa"/>
            <w:shd w:val="clear" w:color="000000" w:fill="FFFFFF"/>
            <w:vAlign w:val="center"/>
          </w:tcPr>
          <w:p w14:paraId="019ACFA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5967525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680EE39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111" w:type="dxa"/>
            <w:shd w:val="clear" w:color="000000" w:fill="FFFFFF"/>
            <w:vAlign w:val="center"/>
          </w:tcPr>
          <w:p w14:paraId="3F4CD2A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07" w:type="dxa"/>
            <w:shd w:val="clear" w:color="000000" w:fill="FFFFFF"/>
            <w:vAlign w:val="center"/>
          </w:tcPr>
          <w:p w14:paraId="3BC8EF4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7AD6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47" w:type="dxa"/>
            <w:vMerge w:val="continue"/>
            <w:shd w:val="clear" w:color="auto" w:fill="FFFFFF"/>
            <w:vAlign w:val="center"/>
          </w:tcPr>
          <w:p w14:paraId="2BD81BFE">
            <w:pPr>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continue"/>
            <w:shd w:val="clear" w:color="auto" w:fill="FFFFFF"/>
            <w:vAlign w:val="center"/>
          </w:tcPr>
          <w:p w14:paraId="0E778C7A">
            <w:pPr>
              <w:spacing w:line="0" w:lineRule="atLeast"/>
              <w:jc w:val="center"/>
              <w:rPr>
                <w:rFonts w:hint="default" w:ascii="Times New Roman" w:hAnsi="Times New Roman" w:eastAsia="仿宋_GB2312" w:cs="Times New Roman"/>
                <w:color w:val="000000"/>
                <w:kern w:val="0"/>
                <w:sz w:val="18"/>
                <w:szCs w:val="18"/>
                <w:highlight w:val="none"/>
              </w:rPr>
            </w:pPr>
          </w:p>
        </w:tc>
        <w:tc>
          <w:tcPr>
            <w:tcW w:w="1844" w:type="dxa"/>
            <w:shd w:val="clear" w:color="auto" w:fill="FFFFFF"/>
            <w:vAlign w:val="center"/>
          </w:tcPr>
          <w:p w14:paraId="7148407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926" w:type="dxa"/>
            <w:shd w:val="clear" w:color="auto" w:fill="FFFFFF"/>
            <w:vAlign w:val="center"/>
          </w:tcPr>
          <w:p w14:paraId="595A81A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3767" w:type="dxa"/>
            <w:shd w:val="clear" w:color="auto" w:fill="FFFFFF"/>
            <w:vAlign w:val="center"/>
          </w:tcPr>
          <w:p w14:paraId="7CF70E7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111" w:type="dxa"/>
            <w:shd w:val="clear" w:color="auto" w:fill="FFFFFF"/>
            <w:vAlign w:val="center"/>
          </w:tcPr>
          <w:p w14:paraId="35F86FD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07" w:type="dxa"/>
            <w:shd w:val="clear" w:color="auto" w:fill="FFFFFF"/>
            <w:vAlign w:val="center"/>
          </w:tcPr>
          <w:p w14:paraId="51848D1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2.5</w:t>
            </w:r>
          </w:p>
        </w:tc>
      </w:tr>
      <w:tr w14:paraId="3CD6B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47" w:type="dxa"/>
            <w:vMerge w:val="continue"/>
            <w:shd w:val="clear" w:color="auto" w:fill="FFFFFF"/>
            <w:vAlign w:val="center"/>
          </w:tcPr>
          <w:p w14:paraId="5C24C1C5">
            <w:pPr>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shd w:val="clear" w:color="auto" w:fill="FFFFFF"/>
            <w:vAlign w:val="center"/>
          </w:tcPr>
          <w:p w14:paraId="31CDECF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844" w:type="dxa"/>
            <w:shd w:val="clear" w:color="auto" w:fill="FFFFFF"/>
            <w:vAlign w:val="center"/>
          </w:tcPr>
          <w:p w14:paraId="262B9D4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294B67E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926" w:type="dxa"/>
            <w:shd w:val="clear" w:color="000000" w:fill="FFFFFF"/>
            <w:vAlign w:val="center"/>
          </w:tcPr>
          <w:p w14:paraId="1D4607C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3767" w:type="dxa"/>
            <w:shd w:val="clear" w:color="000000" w:fill="FFFFFF"/>
            <w:vAlign w:val="center"/>
          </w:tcPr>
          <w:p w14:paraId="09E6E08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111" w:type="dxa"/>
            <w:shd w:val="clear" w:color="000000" w:fill="FFFFFF"/>
            <w:vAlign w:val="center"/>
          </w:tcPr>
          <w:p w14:paraId="44BCCA4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07" w:type="dxa"/>
            <w:shd w:val="clear" w:color="000000" w:fill="FFFFFF"/>
            <w:vAlign w:val="center"/>
          </w:tcPr>
          <w:p w14:paraId="7882D66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BCAB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47" w:type="dxa"/>
            <w:vMerge w:val="continue"/>
            <w:shd w:val="clear" w:color="auto" w:fill="FFFFFF"/>
            <w:vAlign w:val="center"/>
          </w:tcPr>
          <w:p w14:paraId="360C26B1">
            <w:pPr>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restart"/>
            <w:shd w:val="clear" w:color="auto" w:fill="FFFFFF"/>
            <w:vAlign w:val="center"/>
          </w:tcPr>
          <w:p w14:paraId="56A9663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174845FE">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844" w:type="dxa"/>
            <w:shd w:val="clear" w:color="auto" w:fill="FFFFFF"/>
            <w:vAlign w:val="center"/>
          </w:tcPr>
          <w:p w14:paraId="22F75C9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02417F8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926" w:type="dxa"/>
            <w:shd w:val="clear" w:color="000000" w:fill="FFFFFF"/>
            <w:vAlign w:val="center"/>
          </w:tcPr>
          <w:p w14:paraId="0AF166F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3767" w:type="dxa"/>
            <w:shd w:val="clear" w:color="000000" w:fill="FFFFFF"/>
            <w:vAlign w:val="center"/>
          </w:tcPr>
          <w:p w14:paraId="33F3E99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111" w:type="dxa"/>
            <w:shd w:val="clear" w:color="000000" w:fill="FFFFFF"/>
            <w:vAlign w:val="center"/>
          </w:tcPr>
          <w:p w14:paraId="2181359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07" w:type="dxa"/>
            <w:shd w:val="clear" w:color="000000" w:fill="FFFFFF"/>
            <w:vAlign w:val="center"/>
          </w:tcPr>
          <w:p w14:paraId="358422E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4B4D4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47" w:type="dxa"/>
            <w:vMerge w:val="continue"/>
            <w:shd w:val="clear" w:color="auto" w:fill="FFFFFF"/>
            <w:vAlign w:val="center"/>
          </w:tcPr>
          <w:p w14:paraId="75ECA82D">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continue"/>
            <w:shd w:val="clear" w:color="auto" w:fill="FFFFFF"/>
            <w:vAlign w:val="center"/>
          </w:tcPr>
          <w:p w14:paraId="421E513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844" w:type="dxa"/>
            <w:shd w:val="clear" w:color="auto" w:fill="FFFFFF"/>
            <w:vAlign w:val="center"/>
          </w:tcPr>
          <w:p w14:paraId="14E12CA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BEFDE7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926" w:type="dxa"/>
            <w:shd w:val="clear" w:color="000000" w:fill="FFFFFF"/>
            <w:vAlign w:val="center"/>
          </w:tcPr>
          <w:p w14:paraId="4CF1D0E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3767" w:type="dxa"/>
            <w:shd w:val="clear" w:color="000000" w:fill="FFFFFF"/>
            <w:vAlign w:val="center"/>
          </w:tcPr>
          <w:p w14:paraId="74B11BA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111" w:type="dxa"/>
            <w:shd w:val="clear" w:color="000000" w:fill="FFFFFF"/>
            <w:vAlign w:val="center"/>
          </w:tcPr>
          <w:p w14:paraId="4FB1280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107" w:type="dxa"/>
            <w:shd w:val="clear" w:color="000000" w:fill="FFFFFF"/>
            <w:vAlign w:val="center"/>
          </w:tcPr>
          <w:p w14:paraId="4190E98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F5FB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147" w:type="dxa"/>
            <w:vMerge w:val="restart"/>
            <w:shd w:val="clear" w:color="auto" w:fill="FFFFFF"/>
            <w:vAlign w:val="center"/>
          </w:tcPr>
          <w:p w14:paraId="38A02AD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412" w:type="dxa"/>
            <w:shd w:val="clear" w:color="auto" w:fill="FFFFFF"/>
            <w:vAlign w:val="center"/>
          </w:tcPr>
          <w:p w14:paraId="17CEA61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844" w:type="dxa"/>
            <w:shd w:val="clear" w:color="auto" w:fill="FFFFFF"/>
            <w:vAlign w:val="center"/>
          </w:tcPr>
          <w:p w14:paraId="59544AA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926" w:type="dxa"/>
            <w:shd w:val="clear" w:color="000000" w:fill="FFFFFF"/>
            <w:vAlign w:val="center"/>
          </w:tcPr>
          <w:p w14:paraId="4DE364C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3767" w:type="dxa"/>
            <w:shd w:val="clear" w:color="000000" w:fill="FFFFFF"/>
            <w:vAlign w:val="center"/>
          </w:tcPr>
          <w:p w14:paraId="3975332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111" w:type="dxa"/>
            <w:shd w:val="clear" w:color="000000" w:fill="FFFFFF"/>
            <w:vAlign w:val="center"/>
          </w:tcPr>
          <w:p w14:paraId="7EC79FF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07" w:type="dxa"/>
            <w:shd w:val="clear" w:color="000000" w:fill="FFFFFF"/>
            <w:vAlign w:val="center"/>
          </w:tcPr>
          <w:p w14:paraId="264DB53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8</w:t>
            </w:r>
          </w:p>
        </w:tc>
      </w:tr>
      <w:tr w14:paraId="7B550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47" w:type="dxa"/>
            <w:vMerge w:val="continue"/>
            <w:shd w:val="clear" w:color="auto" w:fill="FFFFFF"/>
            <w:vAlign w:val="center"/>
          </w:tcPr>
          <w:p w14:paraId="2C4E3A0E">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shd w:val="clear" w:color="auto" w:fill="FFFFFF"/>
            <w:vAlign w:val="center"/>
          </w:tcPr>
          <w:p w14:paraId="508B836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844" w:type="dxa"/>
            <w:shd w:val="clear" w:color="auto" w:fill="FFFFFF"/>
            <w:vAlign w:val="center"/>
          </w:tcPr>
          <w:p w14:paraId="4F8FD34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926" w:type="dxa"/>
            <w:shd w:val="clear" w:color="000000" w:fill="FFFFFF"/>
            <w:vAlign w:val="center"/>
          </w:tcPr>
          <w:p w14:paraId="0E6CA46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3767" w:type="dxa"/>
            <w:shd w:val="clear" w:color="000000" w:fill="FFFFFF"/>
            <w:vAlign w:val="center"/>
          </w:tcPr>
          <w:p w14:paraId="613CD88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44C15B8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111" w:type="dxa"/>
            <w:shd w:val="clear" w:color="000000" w:fill="FFFFFF"/>
            <w:vAlign w:val="center"/>
          </w:tcPr>
          <w:p w14:paraId="7A063F2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07" w:type="dxa"/>
            <w:shd w:val="clear" w:color="000000" w:fill="FFFFFF"/>
            <w:vAlign w:val="center"/>
          </w:tcPr>
          <w:p w14:paraId="2ABA39E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E37DB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147" w:type="dxa"/>
            <w:vMerge w:val="continue"/>
            <w:shd w:val="clear" w:color="auto" w:fill="FFFFFF"/>
            <w:vAlign w:val="center"/>
          </w:tcPr>
          <w:p w14:paraId="3EEEF21F">
            <w:pPr>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shd w:val="clear" w:color="auto" w:fill="FFFFFF"/>
            <w:vAlign w:val="center"/>
          </w:tcPr>
          <w:p w14:paraId="4B14305D">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844" w:type="dxa"/>
            <w:shd w:val="clear" w:color="auto" w:fill="FFFFFF"/>
            <w:vAlign w:val="center"/>
          </w:tcPr>
          <w:p w14:paraId="68F1FFD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926" w:type="dxa"/>
            <w:shd w:val="clear" w:color="000000" w:fill="FFFFFF"/>
            <w:vAlign w:val="center"/>
          </w:tcPr>
          <w:p w14:paraId="1C7B3B2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3767" w:type="dxa"/>
            <w:shd w:val="clear" w:color="000000" w:fill="FFFFFF"/>
            <w:vAlign w:val="center"/>
          </w:tcPr>
          <w:p w14:paraId="74D0ACE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111" w:type="dxa"/>
            <w:shd w:val="clear" w:color="000000" w:fill="FFFFFF"/>
            <w:vAlign w:val="center"/>
          </w:tcPr>
          <w:p w14:paraId="3AB4F7A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07" w:type="dxa"/>
            <w:shd w:val="clear" w:color="000000" w:fill="FFFFFF"/>
            <w:vAlign w:val="center"/>
          </w:tcPr>
          <w:p w14:paraId="60BDDDA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2DCAA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47" w:type="dxa"/>
            <w:vMerge w:val="continue"/>
            <w:shd w:val="clear" w:color="auto" w:fill="FFFFFF"/>
            <w:vAlign w:val="center"/>
          </w:tcPr>
          <w:p w14:paraId="6702B3A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shd w:val="clear" w:color="auto" w:fill="FFFFFF"/>
            <w:vAlign w:val="center"/>
          </w:tcPr>
          <w:p w14:paraId="1127352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844" w:type="dxa"/>
            <w:shd w:val="clear" w:color="auto" w:fill="FFFFFF"/>
            <w:vAlign w:val="center"/>
          </w:tcPr>
          <w:p w14:paraId="2D7B05B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926" w:type="dxa"/>
            <w:shd w:val="clear" w:color="000000" w:fill="FFFFFF"/>
            <w:vAlign w:val="center"/>
          </w:tcPr>
          <w:p w14:paraId="10504A1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3767" w:type="dxa"/>
            <w:shd w:val="clear" w:color="000000" w:fill="FFFFFF"/>
            <w:vAlign w:val="center"/>
          </w:tcPr>
          <w:p w14:paraId="57A8D76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111" w:type="dxa"/>
            <w:shd w:val="clear" w:color="000000" w:fill="FFFFFF"/>
            <w:vAlign w:val="center"/>
          </w:tcPr>
          <w:p w14:paraId="410C26B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07" w:type="dxa"/>
            <w:shd w:val="clear" w:color="000000" w:fill="FFFFFF"/>
            <w:vAlign w:val="center"/>
          </w:tcPr>
          <w:p w14:paraId="0C52DEE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6D4B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47" w:type="dxa"/>
            <w:vMerge w:val="restart"/>
            <w:shd w:val="clear" w:color="auto" w:fill="FFFFFF"/>
            <w:vAlign w:val="center"/>
          </w:tcPr>
          <w:p w14:paraId="0EDE800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412" w:type="dxa"/>
            <w:vMerge w:val="restart"/>
            <w:shd w:val="clear" w:color="auto" w:fill="FFFFFF"/>
            <w:vAlign w:val="center"/>
          </w:tcPr>
          <w:p w14:paraId="11A6F7E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844" w:type="dxa"/>
            <w:shd w:val="clear" w:color="auto" w:fill="FFFFFF"/>
            <w:vAlign w:val="center"/>
          </w:tcPr>
          <w:p w14:paraId="7437A0D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926" w:type="dxa"/>
            <w:shd w:val="clear" w:color="auto" w:fill="FFFFFF"/>
            <w:vAlign w:val="center"/>
          </w:tcPr>
          <w:p w14:paraId="7635EDF5">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3767" w:type="dxa"/>
            <w:shd w:val="clear" w:color="auto" w:fill="FFFFFF"/>
            <w:vAlign w:val="center"/>
          </w:tcPr>
          <w:p w14:paraId="68A4C98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111" w:type="dxa"/>
            <w:shd w:val="clear" w:color="auto" w:fill="FFFFFF"/>
            <w:vAlign w:val="center"/>
          </w:tcPr>
          <w:p w14:paraId="15C5BF9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07" w:type="dxa"/>
            <w:shd w:val="clear" w:color="auto" w:fill="FFFFFF"/>
            <w:vAlign w:val="center"/>
          </w:tcPr>
          <w:p w14:paraId="3486092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47BDC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47" w:type="dxa"/>
            <w:vMerge w:val="continue"/>
            <w:shd w:val="clear" w:color="auto" w:fill="FFFFFF"/>
            <w:vAlign w:val="center"/>
          </w:tcPr>
          <w:p w14:paraId="0F05B5A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412" w:type="dxa"/>
            <w:vMerge w:val="continue"/>
            <w:shd w:val="clear" w:color="auto" w:fill="FFFFFF"/>
            <w:vAlign w:val="center"/>
          </w:tcPr>
          <w:p w14:paraId="30BC7E2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844" w:type="dxa"/>
            <w:shd w:val="clear" w:color="auto" w:fill="FFFFFF"/>
            <w:vAlign w:val="center"/>
          </w:tcPr>
          <w:p w14:paraId="4ADA7ED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926" w:type="dxa"/>
            <w:shd w:val="clear" w:color="000000" w:fill="FFFFFF"/>
            <w:vAlign w:val="center"/>
          </w:tcPr>
          <w:p w14:paraId="422762A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3767" w:type="dxa"/>
            <w:shd w:val="clear" w:color="000000" w:fill="FFFFFF"/>
            <w:vAlign w:val="center"/>
          </w:tcPr>
          <w:p w14:paraId="4B7BB8A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111" w:type="dxa"/>
            <w:shd w:val="clear" w:color="000000" w:fill="FFFFFF"/>
            <w:vAlign w:val="center"/>
          </w:tcPr>
          <w:p w14:paraId="79079A7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107" w:type="dxa"/>
            <w:shd w:val="clear" w:color="000000" w:fill="FFFFFF"/>
            <w:vAlign w:val="center"/>
          </w:tcPr>
          <w:p w14:paraId="5E71B04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14:paraId="38DC7430">
      <w:pPr>
        <w:rPr>
          <w:rFonts w:hint="default" w:ascii="Times New Roman" w:hAnsi="Times New Roman" w:cs="Times New Roman"/>
        </w:rPr>
      </w:pPr>
    </w:p>
    <w:p w14:paraId="4A54618A">
      <w:pPr>
        <w:pStyle w:val="2"/>
        <w:rPr>
          <w:rFonts w:hint="default" w:ascii="Times New Roman" w:hAnsi="Times New Roman" w:cs="Times New Roman"/>
        </w:rPr>
      </w:pPr>
    </w:p>
    <w:p w14:paraId="5B59770B">
      <w:pPr>
        <w:rPr>
          <w:rFonts w:hint="default" w:ascii="Times New Roman" w:hAnsi="Times New Roman" w:cs="Times New Roman"/>
        </w:rPr>
      </w:pPr>
    </w:p>
    <w:p w14:paraId="491C312D">
      <w:pPr>
        <w:pStyle w:val="2"/>
        <w:rPr>
          <w:rFonts w:hint="default" w:ascii="Times New Roman" w:hAnsi="Times New Roman" w:cs="Times New Roman"/>
        </w:rPr>
      </w:pPr>
    </w:p>
    <w:p w14:paraId="4C5A5FD5">
      <w:pPr>
        <w:rPr>
          <w:rFonts w:hint="default" w:ascii="Times New Roman" w:hAnsi="Times New Roman" w:cs="Times New Roman"/>
        </w:rPr>
      </w:pPr>
    </w:p>
    <w:p w14:paraId="0DF67A52">
      <w:pPr>
        <w:pStyle w:val="2"/>
        <w:rPr>
          <w:rFonts w:hint="default" w:ascii="Times New Roman" w:hAnsi="Times New Roman" w:cs="Times New Roman"/>
        </w:rPr>
      </w:pPr>
    </w:p>
    <w:p w14:paraId="68C0B77E">
      <w:pPr>
        <w:rPr>
          <w:rFonts w:hint="default" w:ascii="Times New Roman" w:hAnsi="Times New Roman" w:cs="Times New Roman"/>
        </w:rPr>
      </w:pPr>
    </w:p>
    <w:p w14:paraId="5E1E1294">
      <w:pPr>
        <w:pStyle w:val="2"/>
        <w:rPr>
          <w:rFonts w:hint="default" w:ascii="Times New Roman" w:hAnsi="Times New Roman" w:cs="Times New Roman"/>
        </w:rPr>
      </w:pPr>
    </w:p>
    <w:p w14:paraId="4DEA4981">
      <w:pPr>
        <w:rPr>
          <w:rFonts w:hint="default" w:ascii="Times New Roman" w:hAnsi="Times New Roman" w:cs="Times New Roman"/>
        </w:rPr>
      </w:pPr>
    </w:p>
    <w:p w14:paraId="45DD085F">
      <w:pPr>
        <w:pStyle w:val="2"/>
        <w:rPr>
          <w:rFonts w:hint="default" w:ascii="Times New Roman" w:hAnsi="Times New Roman" w:cs="Times New Roman"/>
        </w:rPr>
      </w:pPr>
    </w:p>
    <w:p w14:paraId="7A61715C">
      <w:pPr>
        <w:rPr>
          <w:rFonts w:hint="default" w:ascii="Times New Roman" w:hAnsi="Times New Roman" w:cs="Times New Roman"/>
        </w:rPr>
      </w:pPr>
    </w:p>
    <w:p w14:paraId="2BFD7F02">
      <w:pPr>
        <w:pStyle w:val="2"/>
        <w:rPr>
          <w:rFonts w:hint="default" w:ascii="Times New Roman" w:hAnsi="Times New Roman" w:cs="Times New Roman"/>
        </w:rPr>
      </w:pPr>
    </w:p>
    <w:p w14:paraId="33756579">
      <w:pPr>
        <w:rPr>
          <w:rFonts w:hint="default" w:ascii="Times New Roman" w:hAnsi="Times New Roman" w:cs="Times New Roman"/>
        </w:rPr>
      </w:pPr>
    </w:p>
    <w:p w14:paraId="3A0D2201">
      <w:pPr>
        <w:pStyle w:val="2"/>
        <w:rPr>
          <w:rFonts w:hint="default" w:ascii="Times New Roman" w:hAnsi="Times New Roman" w:cs="Times New Roman"/>
        </w:rPr>
      </w:pPr>
    </w:p>
    <w:p w14:paraId="1FAEBB27">
      <w:pPr>
        <w:rPr>
          <w:rFonts w:hint="default" w:ascii="Times New Roman" w:hAnsi="Times New Roman" w:cs="Times New Roman"/>
        </w:rPr>
      </w:pPr>
    </w:p>
    <w:p w14:paraId="5018CE6E">
      <w:pPr>
        <w:pStyle w:val="2"/>
        <w:rPr>
          <w:rFonts w:hint="default" w:ascii="Times New Roman" w:hAnsi="Times New Roman" w:cs="Times New Roman"/>
        </w:rPr>
      </w:pPr>
    </w:p>
    <w:p w14:paraId="6E880617">
      <w:pPr>
        <w:rPr>
          <w:rFonts w:hint="default" w:ascii="Times New Roman" w:hAnsi="Times New Roman" w:cs="Times New Roman"/>
        </w:rPr>
      </w:pPr>
    </w:p>
    <w:p w14:paraId="321D01D0">
      <w:pPr>
        <w:pStyle w:val="2"/>
        <w:rPr>
          <w:rFonts w:hint="default" w:ascii="Times New Roman" w:hAnsi="Times New Roman" w:cs="Times New Roman"/>
        </w:rPr>
      </w:pP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232B2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vAlign w:val="center"/>
          </w:tcPr>
          <w:p w14:paraId="6A3ED659">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28DC6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00484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09656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6DFFD7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14:paraId="36F57B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无线电资产运维及更新项目</w:t>
            </w:r>
          </w:p>
        </w:tc>
      </w:tr>
      <w:tr w14:paraId="789AB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14:paraId="1BB983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14:paraId="592801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2F083D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14:paraId="0FC40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伊犁哈萨克自治州无线电管理局</w:t>
            </w:r>
          </w:p>
        </w:tc>
      </w:tr>
      <w:tr w14:paraId="62270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69CF66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0CB0FD3A">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C9688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139589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03C01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7186A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02F721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2AC0A3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160FA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C33EBB9">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1488F2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C14B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17.87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07BCB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17.87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396203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11.18</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6BF986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6.26</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14591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62.56%</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40B7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6.26</w:t>
            </w:r>
          </w:p>
        </w:tc>
      </w:tr>
      <w:tr w14:paraId="5DC3B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5CA432E">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468E99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0443C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5B6AD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6AC01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8BA1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215E6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6B07C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6C0D7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DC8756A">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14:paraId="637190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CE82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17.87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ADC1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17.87</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0F3792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11.18</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14:paraId="4E4C27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14:paraId="195C6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5B4F2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007CC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488549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0B8DE2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14:paraId="05CFB7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4A194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3A9CCF">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14:paraId="45555F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一是对原办公楼的公共消防设施和电梯进行维修维护，为保证国有资产增值保值、必免造成安全事故。</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二是利用固定站和移支监测设备加强不明信号查找、监测月报、电磁环境测试、无线电设备检测等监、检工作。</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三是合理使用运维和专项资金，稳步推进无线电设备设施运行维护、重大活动无线电安全保障、航空及铁路无线电频率保护以及无线电干扰查处、无线电频率协调、考试保障等各项无线电专项监管工作的开展，助力经济高质量发展，维护社会稳定和长治久安。</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14:paraId="508D22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我局根据项目年初目标，各项工作有序开展，利用固定站和移支监测设备加强不明信号查找、监测月报、电磁环境测试、无线电设备检测等监、检工作；合理使用项目资金，稳步推进无线电设备设施运行维护；按计划完成重大活动无线电安全保障、航空及铁路无线电频率保护以及无线电干扰查处、无线电频率协调、考试保障等各项无线电专项监管工作；</w:t>
            </w:r>
          </w:p>
        </w:tc>
      </w:tr>
      <w:tr w14:paraId="59E3E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5D704DB9">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0C1A39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3A594A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14:paraId="06B014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8D4BF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570B80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336835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2C33CE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C2E4A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2F542F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14:paraId="171A13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8BE54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14:paraId="53E0E2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14:paraId="74F015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70FCB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A1577DA">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C60D77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D220051">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E8F124">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4C1F0B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64AD1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0CBB39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AC58E1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2E697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A6ED41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708A033">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0A2996">
            <w:pPr>
              <w:jc w:val="center"/>
              <w:rPr>
                <w:rFonts w:hint="eastAsia" w:ascii="宋体" w:hAnsi="宋体" w:eastAsia="宋体" w:cs="宋体"/>
                <w:b/>
                <w:bCs/>
                <w:i w:val="0"/>
                <w:iCs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CD8E538">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33641A0">
            <w:pPr>
              <w:jc w:val="center"/>
              <w:rPr>
                <w:rFonts w:hint="eastAsia" w:ascii="宋体" w:hAnsi="宋体" w:eastAsia="宋体" w:cs="宋体"/>
                <w:b/>
                <w:bCs/>
                <w:i w:val="0"/>
                <w:iCs w:val="0"/>
                <w:color w:val="000000"/>
                <w:sz w:val="18"/>
                <w:szCs w:val="18"/>
                <w:u w:val="none"/>
              </w:rPr>
            </w:pPr>
          </w:p>
        </w:tc>
      </w:tr>
      <w:tr w14:paraId="1DCEF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2EBF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572613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4733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B1DD1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设备购置数量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601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7875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516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618F9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233DD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583E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53E09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FD964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0239E6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87CC2AF">
            <w:pPr>
              <w:jc w:val="center"/>
              <w:rPr>
                <w:rFonts w:hint="eastAsia" w:ascii="宋体" w:hAnsi="宋体" w:eastAsia="宋体" w:cs="宋体"/>
                <w:i w:val="0"/>
                <w:iCs w:val="0"/>
                <w:color w:val="000000"/>
                <w:sz w:val="18"/>
                <w:szCs w:val="18"/>
                <w:u w:val="none"/>
              </w:rPr>
            </w:pPr>
          </w:p>
        </w:tc>
      </w:tr>
      <w:tr w14:paraId="6BEB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C41AAA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389697">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4CC29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54C0D1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改造工程数量</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DDF38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DDBAD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&gt;=3个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419F1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=2个</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E80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66.67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2E2C8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0.83</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F288F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C7F46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2DCAF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187A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24158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改造工程数量目标值为3个，业绩值完成改造工程数量2个，完成率为66.67%,故偏差率为33.33%; 原因：位于伊宁市解放路121号原办公楼的公共消防设施改造项目未实施，预算资金3.03万元，因该办公楼产权由5家单位共有，层高13层，我局占一层产权，其他产权单位未能就公共消防设施改造项目达成一致意见，此项目暂不实施</w:t>
            </w:r>
          </w:p>
        </w:tc>
      </w:tr>
      <w:tr w14:paraId="74F50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CED04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3A7641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102EF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54CE9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库房租赁面积（平方米）</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A2FB8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17D7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&gt;=100平方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45D5B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=100平方</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97E39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9E42D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32850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AED88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1664F3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33B15B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10CAAA0B">
            <w:pPr>
              <w:jc w:val="center"/>
              <w:rPr>
                <w:rFonts w:hint="eastAsia" w:ascii="宋体" w:hAnsi="宋体" w:eastAsia="宋体" w:cs="宋体"/>
                <w:i w:val="0"/>
                <w:iCs w:val="0"/>
                <w:color w:val="000000"/>
                <w:sz w:val="18"/>
                <w:szCs w:val="18"/>
                <w:u w:val="none"/>
              </w:rPr>
            </w:pPr>
          </w:p>
        </w:tc>
      </w:tr>
      <w:tr w14:paraId="71068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6FAEDA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1DC330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55EB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0F730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竣工验收合格率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80EA2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2E8F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69DC3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A0AA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250E5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29A15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C7C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9795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44634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98E743B">
            <w:pPr>
              <w:jc w:val="center"/>
              <w:rPr>
                <w:rFonts w:hint="eastAsia" w:ascii="宋体" w:hAnsi="宋体" w:eastAsia="宋体" w:cs="宋体"/>
                <w:i w:val="0"/>
                <w:iCs w:val="0"/>
                <w:color w:val="000000"/>
                <w:sz w:val="18"/>
                <w:szCs w:val="18"/>
                <w:u w:val="none"/>
              </w:rPr>
            </w:pPr>
          </w:p>
        </w:tc>
      </w:tr>
      <w:tr w14:paraId="22EDB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31E00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D1787E5">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F8057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03E56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52CFD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F8CC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76539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A6D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D62F6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8AC60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7755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9CC53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17F9A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537DAFA">
            <w:pPr>
              <w:jc w:val="center"/>
              <w:rPr>
                <w:rFonts w:hint="eastAsia" w:ascii="宋体" w:hAnsi="宋体" w:eastAsia="宋体" w:cs="宋体"/>
                <w:i w:val="0"/>
                <w:iCs w:val="0"/>
                <w:color w:val="000000"/>
                <w:sz w:val="18"/>
                <w:szCs w:val="18"/>
                <w:u w:val="none"/>
              </w:rPr>
            </w:pPr>
          </w:p>
        </w:tc>
      </w:tr>
      <w:tr w14:paraId="29146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9B07C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0A24F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031FA7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6CA79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设备采购完成时间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6F94F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5595C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2024年11月30日</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21F5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=2024年11月30日</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9685E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790D0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12B4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CD004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26B848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85FCB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7FCBC182">
            <w:pPr>
              <w:jc w:val="center"/>
              <w:rPr>
                <w:rFonts w:hint="eastAsia" w:ascii="宋体" w:hAnsi="宋体" w:eastAsia="宋体" w:cs="宋体"/>
                <w:i w:val="0"/>
                <w:iCs w:val="0"/>
                <w:color w:val="000000"/>
                <w:sz w:val="18"/>
                <w:szCs w:val="18"/>
                <w:u w:val="none"/>
              </w:rPr>
            </w:pPr>
          </w:p>
        </w:tc>
      </w:tr>
      <w:tr w14:paraId="4BDEF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685967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86CEE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F465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727063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项目）工程按计划完工时间</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38C88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AED2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2024年11月30日</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55B0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=2024年11月30日</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DC93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5433A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53FD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1DB1B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0AD7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3A8EC1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AEB3471">
            <w:pPr>
              <w:jc w:val="center"/>
              <w:rPr>
                <w:rFonts w:hint="eastAsia" w:ascii="宋体" w:hAnsi="宋体" w:eastAsia="宋体" w:cs="宋体"/>
                <w:i w:val="0"/>
                <w:iCs w:val="0"/>
                <w:color w:val="000000"/>
                <w:sz w:val="18"/>
                <w:szCs w:val="18"/>
                <w:u w:val="none"/>
              </w:rPr>
            </w:pPr>
          </w:p>
        </w:tc>
      </w:tr>
      <w:tr w14:paraId="688A4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4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E9D6D7">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7DC09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AF511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35AE4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项目预算控制率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A11FF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4DF08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94485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=62.56%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8D247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62.56</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F73C6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1.28</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0BEB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DD982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5B5CA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68900C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8EC42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预算控制率目标值小于等于100%，业绩值62.56%，完成率为62.56%,故偏差率为37.44%;原因：无线电资产运维及更新项目中剩余两个项目6.23万元未执行，其中：1、租赁放置监测节点设备用房项目未实施，预算资金3.20万元，因驻厅纪检组对此项目提出涉嫌给交流领导干部租房，此项目终止实施；2、位于伊宁市解放路121号原办公楼的公共消防设施改造项目未实施，预算资金3.03万元，因该办公楼产权由5家单位共有，层高13层，我局占一层产权，其他产权单位未能就公共消防设施改造项目达成一致意见，此项目暂不实施。</w:t>
            </w:r>
          </w:p>
        </w:tc>
      </w:tr>
      <w:tr w14:paraId="5A76E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EBFDA1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3A08FE">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26BE0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61B3E8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A6D237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7CF1F1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D68DF5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E6008B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E60AB9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A5F2D73">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835992">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965951C">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E4F4204">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63836D70">
            <w:pPr>
              <w:jc w:val="center"/>
              <w:rPr>
                <w:rFonts w:hint="eastAsia" w:ascii="宋体" w:hAnsi="宋体" w:eastAsia="宋体" w:cs="宋体"/>
                <w:i w:val="0"/>
                <w:iCs w:val="0"/>
                <w:color w:val="000000"/>
                <w:sz w:val="18"/>
                <w:szCs w:val="18"/>
                <w:u w:val="none"/>
              </w:rPr>
            </w:pPr>
          </w:p>
        </w:tc>
      </w:tr>
      <w:tr w14:paraId="006A6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3DC82D3">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5BB417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2CCF66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41E03D1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17C107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9912A4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22F35A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EBF442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A120E3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0E9A42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FD40A0">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29329819">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4C5EB75C">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D0D7807">
            <w:pPr>
              <w:jc w:val="center"/>
              <w:rPr>
                <w:rFonts w:hint="eastAsia" w:ascii="宋体" w:hAnsi="宋体" w:eastAsia="宋体" w:cs="宋体"/>
                <w:i w:val="0"/>
                <w:iCs w:val="0"/>
                <w:color w:val="000000"/>
                <w:sz w:val="18"/>
                <w:szCs w:val="18"/>
                <w:u w:val="none"/>
              </w:rPr>
            </w:pPr>
          </w:p>
        </w:tc>
      </w:tr>
      <w:tr w14:paraId="131DD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02CCC59">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6304FB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3B2BA9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146B2E2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FDF12DC">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791509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AC3801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A983E8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E11FC2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FC4BF6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AC9561">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BEAF157">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3753EE9E">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660BE4F">
            <w:pPr>
              <w:jc w:val="center"/>
              <w:rPr>
                <w:rFonts w:hint="eastAsia" w:ascii="宋体" w:hAnsi="宋体" w:eastAsia="宋体" w:cs="宋体"/>
                <w:i w:val="0"/>
                <w:iCs w:val="0"/>
                <w:color w:val="000000"/>
                <w:sz w:val="18"/>
                <w:szCs w:val="18"/>
                <w:u w:val="none"/>
              </w:rPr>
            </w:pPr>
          </w:p>
        </w:tc>
      </w:tr>
      <w:tr w14:paraId="3E385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A52F3AF">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D3907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51E5EB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3D99F3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单位正常运转率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8BE6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AF3B6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080B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A8D9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0CFDFE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B0129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B0779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316861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6F676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0813F76A">
            <w:pPr>
              <w:jc w:val="center"/>
              <w:rPr>
                <w:rFonts w:hint="eastAsia" w:ascii="宋体" w:hAnsi="宋体" w:eastAsia="宋体" w:cs="宋体"/>
                <w:i w:val="0"/>
                <w:iCs w:val="0"/>
                <w:color w:val="000000"/>
                <w:sz w:val="18"/>
                <w:szCs w:val="18"/>
                <w:u w:val="none"/>
              </w:rPr>
            </w:pPr>
          </w:p>
        </w:tc>
      </w:tr>
      <w:tr w14:paraId="5C4E7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8A24B59">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63134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64C4E4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0336DBD4">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374D74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512BD8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0F1F0A6">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E5BBA29">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4BCD30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8266E5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7DE04A15">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76F646E3">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23B1CF9F">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45E1125F">
            <w:pPr>
              <w:jc w:val="center"/>
              <w:rPr>
                <w:rFonts w:hint="eastAsia" w:ascii="宋体" w:hAnsi="宋体" w:eastAsia="宋体" w:cs="宋体"/>
                <w:i w:val="0"/>
                <w:iCs w:val="0"/>
                <w:color w:val="000000"/>
                <w:sz w:val="18"/>
                <w:szCs w:val="18"/>
                <w:u w:val="none"/>
              </w:rPr>
            </w:pPr>
          </w:p>
        </w:tc>
      </w:tr>
      <w:tr w14:paraId="73B1C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5A2B30">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4D9CDC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14:paraId="7C9B7A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14:paraId="2B6A152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2FAD3A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307305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90F9D65">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4CD1FD6F">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ECF402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CB62362">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585295C6">
            <w:pPr>
              <w:jc w:val="cente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0A0627B7">
            <w:pPr>
              <w:jc w:val="cente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5C741D86">
            <w:pPr>
              <w:jc w:val="cente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582869DF">
            <w:pPr>
              <w:jc w:val="center"/>
              <w:rPr>
                <w:rFonts w:hint="eastAsia" w:ascii="宋体" w:hAnsi="宋体" w:eastAsia="宋体" w:cs="宋体"/>
                <w:i w:val="0"/>
                <w:iCs w:val="0"/>
                <w:color w:val="000000"/>
                <w:sz w:val="18"/>
                <w:szCs w:val="18"/>
                <w:u w:val="none"/>
              </w:rPr>
            </w:pPr>
          </w:p>
        </w:tc>
      </w:tr>
      <w:tr w14:paraId="65660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14:paraId="56EC80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A365A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14:paraId="436E0371">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34679D3B">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2AF0553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25D4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73.37分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6867FB18">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14:paraId="167AF1CD">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14:paraId="4614C902">
            <w:pPr>
              <w:rPr>
                <w:rFonts w:hint="eastAsia" w:ascii="宋体" w:hAnsi="宋体" w:eastAsia="宋体" w:cs="宋体"/>
                <w:i w:val="0"/>
                <w:iCs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14:paraId="156BD412">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14:paraId="3AF95EC4">
            <w:pPr>
              <w:rPr>
                <w:rFonts w:hint="eastAsia" w:ascii="宋体" w:hAnsi="宋体" w:eastAsia="宋体" w:cs="宋体"/>
                <w:i w:val="0"/>
                <w:iCs w:val="0"/>
                <w:color w:val="000000"/>
                <w:sz w:val="18"/>
                <w:szCs w:val="18"/>
                <w:u w:val="none"/>
              </w:rPr>
            </w:pPr>
          </w:p>
        </w:tc>
      </w:tr>
    </w:tbl>
    <w:p w14:paraId="3A4ADDD7">
      <w:pPr>
        <w:rPr>
          <w:rFonts w:hint="default"/>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0AF08D-62F4-427C-A24A-B9FE2AF90C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959C28D-3E7E-45F2-B2C9-5AC5BE266CC6}"/>
  </w:font>
  <w:font w:name="华文中宋">
    <w:altName w:val="宋体"/>
    <w:panose1 w:val="02010600040101010101"/>
    <w:charset w:val="86"/>
    <w:family w:val="auto"/>
    <w:pitch w:val="default"/>
    <w:sig w:usb0="00000000" w:usb1="00000000" w:usb2="00000000" w:usb3="00000000" w:csb0="0004009F" w:csb1="DFD70000"/>
    <w:embedRegular r:id="rId3" w:fontKey="{6AD7B608-5F24-46DD-893C-64DEA925E88E}"/>
  </w:font>
  <w:font w:name="方正小标宋_GBK">
    <w:panose1 w:val="02000000000000000000"/>
    <w:charset w:val="86"/>
    <w:family w:val="script"/>
    <w:pitch w:val="default"/>
    <w:sig w:usb0="A00002BF" w:usb1="38CF7CFA" w:usb2="00082016" w:usb3="00000000" w:csb0="00040001" w:csb1="00000000"/>
    <w:embedRegular r:id="rId4" w:fontKey="{13211D62-1400-43F3-BE28-D6073B1B0B06}"/>
  </w:font>
  <w:font w:name="楷体_GB2312">
    <w:panose1 w:val="02010609030101010101"/>
    <w:charset w:val="86"/>
    <w:family w:val="auto"/>
    <w:pitch w:val="default"/>
    <w:sig w:usb0="00000001" w:usb1="080E0000" w:usb2="00000000" w:usb3="00000000" w:csb0="00040000" w:csb1="00000000"/>
    <w:embedRegular r:id="rId5" w:fontKey="{829ACAEF-C945-4B13-A402-1969AABB1E7C}"/>
  </w:font>
  <w:font w:name="楷体">
    <w:panose1 w:val="02010609060101010101"/>
    <w:charset w:val="86"/>
    <w:family w:val="modern"/>
    <w:pitch w:val="default"/>
    <w:sig w:usb0="800002BF" w:usb1="38CF7CFA" w:usb2="00000016" w:usb3="00000000" w:csb0="00040001" w:csb1="00000000"/>
    <w:embedRegular r:id="rId6" w:fontKey="{B53F35CD-3481-4B7A-8D71-1CFAF399A3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AF7F6F5">
        <w:pPr>
          <w:pStyle w:val="8"/>
          <w:jc w:val="center"/>
        </w:pPr>
        <w:r>
          <w:fldChar w:fldCharType="begin"/>
        </w:r>
        <w:r>
          <w:instrText xml:space="preserve">PAGE   \* MERGEFORMAT</w:instrText>
        </w:r>
        <w:r>
          <w:fldChar w:fldCharType="separate"/>
        </w:r>
        <w:r>
          <w:rPr>
            <w:lang w:val="zh-CN"/>
          </w:rPr>
          <w:t>13</w:t>
        </w:r>
        <w:r>
          <w:fldChar w:fldCharType="end"/>
        </w:r>
      </w:p>
    </w:sdtContent>
  </w:sdt>
  <w:p w14:paraId="187B2E3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2D3E75FA"/>
    <w:multiLevelType w:val="singleLevel"/>
    <w:tmpl w:val="2D3E75FA"/>
    <w:lvl w:ilvl="0" w:tentative="0">
      <w:start w:val="2"/>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abstractNum w:abstractNumId="6">
    <w:nsid w:val="795E6634"/>
    <w:multiLevelType w:val="singleLevel"/>
    <w:tmpl w:val="795E6634"/>
    <w:lvl w:ilvl="0" w:tentative="0">
      <w:start w:val="1"/>
      <w:numFmt w:val="decimal"/>
      <w:lvlText w:val="%1."/>
      <w:lvlJc w:val="left"/>
      <w:pPr>
        <w:tabs>
          <w:tab w:val="left" w:pos="312"/>
        </w:tabs>
      </w:pPr>
    </w:lvl>
  </w:abstractNum>
  <w:num w:numId="1">
    <w:abstractNumId w:val="4"/>
  </w:num>
  <w:num w:numId="2">
    <w:abstractNumId w:val="0"/>
  </w:num>
  <w:num w:numId="3">
    <w:abstractNumId w:val="3"/>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16536E6"/>
    <w:rsid w:val="01E73CA2"/>
    <w:rsid w:val="02510197"/>
    <w:rsid w:val="03EC461B"/>
    <w:rsid w:val="07397B77"/>
    <w:rsid w:val="0AD007F3"/>
    <w:rsid w:val="0BC814CA"/>
    <w:rsid w:val="0D087197"/>
    <w:rsid w:val="0E3C619F"/>
    <w:rsid w:val="11170296"/>
    <w:rsid w:val="117D4B05"/>
    <w:rsid w:val="13471461"/>
    <w:rsid w:val="13B90F01"/>
    <w:rsid w:val="145C5E90"/>
    <w:rsid w:val="147279D3"/>
    <w:rsid w:val="155E4C4D"/>
    <w:rsid w:val="169946DC"/>
    <w:rsid w:val="17462648"/>
    <w:rsid w:val="181066D2"/>
    <w:rsid w:val="1A4C32C6"/>
    <w:rsid w:val="1C5446B4"/>
    <w:rsid w:val="1C671E73"/>
    <w:rsid w:val="1D01100C"/>
    <w:rsid w:val="1D1125A5"/>
    <w:rsid w:val="1D322C47"/>
    <w:rsid w:val="1DDF4451"/>
    <w:rsid w:val="23616034"/>
    <w:rsid w:val="23D4607E"/>
    <w:rsid w:val="24480FA2"/>
    <w:rsid w:val="25227A45"/>
    <w:rsid w:val="26AC3A6A"/>
    <w:rsid w:val="26E01D1B"/>
    <w:rsid w:val="281178FD"/>
    <w:rsid w:val="29763EBB"/>
    <w:rsid w:val="2B9D7E25"/>
    <w:rsid w:val="2C7C7A3B"/>
    <w:rsid w:val="2EFC0D68"/>
    <w:rsid w:val="2F364819"/>
    <w:rsid w:val="2FD63906"/>
    <w:rsid w:val="33467909"/>
    <w:rsid w:val="33BE74FB"/>
    <w:rsid w:val="37215DAE"/>
    <w:rsid w:val="38CA40DD"/>
    <w:rsid w:val="395F2B56"/>
    <w:rsid w:val="3BBA0580"/>
    <w:rsid w:val="3BECE841"/>
    <w:rsid w:val="3CDE204C"/>
    <w:rsid w:val="3D363C36"/>
    <w:rsid w:val="3E9C3F6D"/>
    <w:rsid w:val="3FF7797D"/>
    <w:rsid w:val="46690BD8"/>
    <w:rsid w:val="482642B5"/>
    <w:rsid w:val="48CE1B88"/>
    <w:rsid w:val="49F70BF1"/>
    <w:rsid w:val="4AB443EC"/>
    <w:rsid w:val="4B4340EE"/>
    <w:rsid w:val="4BF06537"/>
    <w:rsid w:val="4FA72771"/>
    <w:rsid w:val="503D507A"/>
    <w:rsid w:val="51FA74D0"/>
    <w:rsid w:val="52AA4A52"/>
    <w:rsid w:val="55BF6A67"/>
    <w:rsid w:val="56F400AD"/>
    <w:rsid w:val="59943D66"/>
    <w:rsid w:val="59E051FD"/>
    <w:rsid w:val="59E6355E"/>
    <w:rsid w:val="5B5E1F0B"/>
    <w:rsid w:val="5B821531"/>
    <w:rsid w:val="5BFF6039"/>
    <w:rsid w:val="5D76A616"/>
    <w:rsid w:val="5D7F20B9"/>
    <w:rsid w:val="5DAC7D0E"/>
    <w:rsid w:val="5E5D0C92"/>
    <w:rsid w:val="5F98B5AF"/>
    <w:rsid w:val="5FFE8511"/>
    <w:rsid w:val="5FFEACE2"/>
    <w:rsid w:val="609D5BF6"/>
    <w:rsid w:val="61073070"/>
    <w:rsid w:val="61B9080E"/>
    <w:rsid w:val="61DF3FED"/>
    <w:rsid w:val="641565F6"/>
    <w:rsid w:val="642B176B"/>
    <w:rsid w:val="643EE26D"/>
    <w:rsid w:val="653C4D87"/>
    <w:rsid w:val="656019A0"/>
    <w:rsid w:val="65F242EE"/>
    <w:rsid w:val="666D7E19"/>
    <w:rsid w:val="68376930"/>
    <w:rsid w:val="68F91E38"/>
    <w:rsid w:val="69767E03"/>
    <w:rsid w:val="6B3158B9"/>
    <w:rsid w:val="6BA02A3F"/>
    <w:rsid w:val="6C1E5A53"/>
    <w:rsid w:val="6DD20F3C"/>
    <w:rsid w:val="6F5C41AC"/>
    <w:rsid w:val="6FAF6C78"/>
    <w:rsid w:val="716167CC"/>
    <w:rsid w:val="718A7AD1"/>
    <w:rsid w:val="72A44BC2"/>
    <w:rsid w:val="7317C656"/>
    <w:rsid w:val="734ED73F"/>
    <w:rsid w:val="73C82B32"/>
    <w:rsid w:val="73F94DAE"/>
    <w:rsid w:val="74220495"/>
    <w:rsid w:val="747D1B6F"/>
    <w:rsid w:val="749E5641"/>
    <w:rsid w:val="76271066"/>
    <w:rsid w:val="776FF713"/>
    <w:rsid w:val="77FD8BE9"/>
    <w:rsid w:val="78000AED"/>
    <w:rsid w:val="79A9BD3F"/>
    <w:rsid w:val="7B776F12"/>
    <w:rsid w:val="7BFFFDD0"/>
    <w:rsid w:val="7C336E5F"/>
    <w:rsid w:val="7C8D4919"/>
    <w:rsid w:val="7D7A5F86"/>
    <w:rsid w:val="7E4B683A"/>
    <w:rsid w:val="7E5E656D"/>
    <w:rsid w:val="7E8F2BCB"/>
    <w:rsid w:val="7EFA6B5A"/>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1"/>
    <w:qFormat/>
    <w:uiPriority w:val="99"/>
    <w:pPr>
      <w:widowControl w:val="0"/>
      <w:jc w:val="both"/>
    </w:pPr>
    <w:rPr>
      <w:rFonts w:ascii="Calibri" w:hAnsi="Calibri" w:eastAsia="宋体" w:cs="Times New Roman"/>
      <w:kern w:val="2"/>
      <w:sz w:val="21"/>
      <w:szCs w:val="21"/>
      <w:lang w:val="en-US" w:eastAsia="zh-CN" w:bidi="ar-SA"/>
    </w:r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 w:type="paragraph" w:customStyle="1" w:styleId="2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33</Pages>
  <Words>11896</Words>
  <Characters>12270</Characters>
  <Lines>58</Lines>
  <Paragraphs>16</Paragraphs>
  <TotalTime>32</TotalTime>
  <ScaleCrop>false</ScaleCrop>
  <LinksUpToDate>false</LinksUpToDate>
  <CharactersWithSpaces>12301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久溺深海</cp:lastModifiedBy>
  <cp:lastPrinted>2025-03-20T10:43:00Z</cp:lastPrinted>
  <dcterms:modified xsi:type="dcterms:W3CDTF">2025-08-27T04:43:50Z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EC99773F21B349659AE205148812517A_13</vt:lpwstr>
  </property>
  <property fmtid="{D5CDD505-2E9C-101B-9397-08002B2CF9AE}" pid="4" name="KSOTemplateDocerSaveRecord">
    <vt:lpwstr>eyJoZGlkIjoiNmZkMjYyYzAxYjhmOGVmYjRhNDdiNWU4MjMwYTAyNjgiLCJ1c2VySWQiOiIyNTIzNDE3MTMifQ==</vt:lpwstr>
  </property>
</Properties>
</file>