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3501CD">
      <w:pPr>
        <w:widowControl/>
        <w:spacing w:before="0" w:beforeLines="0" w:beforeAutospacing="0" w:after="0" w:afterLines="0" w:afterAutospacing="0" w:line="240" w:lineRule="auto"/>
        <w:jc w:val="left"/>
        <w:rPr>
          <w:rFonts w:ascii="宋体" w:eastAsia="宋体"/>
          <w:sz w:val="32"/>
          <w:szCs w:val="32"/>
        </w:rPr>
      </w:pPr>
    </w:p>
    <w:p w14:paraId="7D4F8C8C">
      <w:pPr>
        <w:widowControl/>
        <w:spacing w:before="0" w:beforeLines="0" w:beforeAutospacing="0" w:after="0" w:afterLines="0" w:afterAutospacing="0" w:line="240" w:lineRule="auto"/>
        <w:jc w:val="left"/>
        <w:rPr>
          <w:rFonts w:ascii="宋体" w:eastAsia="宋体"/>
          <w:sz w:val="44"/>
          <w:szCs w:val="44"/>
        </w:rPr>
      </w:pPr>
    </w:p>
    <w:p w14:paraId="04B98F79">
      <w:pPr>
        <w:widowControl/>
        <w:spacing w:before="0" w:beforeLines="0" w:beforeAutospacing="0" w:after="0" w:afterLines="0" w:afterAutospacing="0" w:line="240" w:lineRule="auto"/>
        <w:jc w:val="left"/>
        <w:rPr>
          <w:rFonts w:ascii="宋体" w:eastAsia="宋体"/>
          <w:sz w:val="44"/>
          <w:szCs w:val="44"/>
        </w:rPr>
      </w:pPr>
    </w:p>
    <w:p w14:paraId="1CDCCB02">
      <w:pPr>
        <w:widowControl/>
        <w:spacing w:before="0" w:beforeLines="0" w:beforeAutospacing="0" w:after="0" w:afterLines="0" w:afterAutospacing="0" w:line="240" w:lineRule="auto"/>
        <w:jc w:val="left"/>
        <w:rPr>
          <w:rFonts w:ascii="宋体" w:eastAsia="宋体"/>
          <w:sz w:val="44"/>
          <w:szCs w:val="44"/>
        </w:rPr>
      </w:pPr>
    </w:p>
    <w:p w14:paraId="137340E8">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博尔塔拉蒙古自治州无线电管理中心</w:t>
      </w:r>
    </w:p>
    <w:p w14:paraId="430756CC">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14:paraId="2582DB88">
      <w:pPr>
        <w:widowControl/>
      </w:pPr>
      <w:r>
        <w:rPr>
          <w:b w:val="0"/>
          <w:sz w:val="0"/>
          <w:szCs w:val="0"/>
        </w:rPr>
        <w:br w:type="page"/>
      </w:r>
    </w:p>
    <w:p w14:paraId="00AD34CB">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14:paraId="1A25AA5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02A7381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41B2056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14:paraId="2CCAB15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14:paraId="6D12066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53F3C64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027F915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755B32C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2380788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1C52588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5688715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6707022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1F4650F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5A1B0C0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17899C0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2CD7978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7E8754F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134A3F5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6FBAB41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1C4A3BC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449CFF6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048890A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3C53D2E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14:paraId="0FC0DCF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14:paraId="2EC43D6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79A12F0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1B35B0D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624224A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5543B4A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493DB51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72B1139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478E559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23518FD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1525F384">
      <w:pPr>
        <w:widowControl/>
      </w:pPr>
      <w:r>
        <w:rPr>
          <w:b w:val="0"/>
          <w:sz w:val="0"/>
          <w:szCs w:val="0"/>
        </w:rPr>
        <w:br w:type="page"/>
      </w:r>
    </w:p>
    <w:p w14:paraId="6ECF7DCB">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3BEC55B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6C1FB5F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中华人民共和国无线电管理条例》《关于调整全区无线电管理机构编制事宜的批复》（新机编办〔2011〕39号）《关于印发&lt;新疆维吾尔自治区经济和信息化委员会（新疆维吾尔自治区国防科学技术工业办公室）所属事业单位分类改革方案&gt;的通知》（新事改办〔2014〕11号），博尔塔拉蒙古自治州无线电管理中心是新疆维吾尔自治区工业和信息化厅派驻博州负责无线电管理工作的公益一类事业单位，其主要职责任务是：负责本行政区域除军事系统外的无线电管理工作。贯彻落实国家和自治区无线电管理的法规、规章、政策；根据审批权限实施无线电频率使用许可，审查无线电台（站）的建设布局和台址，核发无线电台执照及无线电台识别码（含呼号）；负责本行政区域无线电监测和干扰查处；协调处理本行政区域无线电管理相关事宜。负责本行政区域无线电管理的行政执法检查，按照有关规定对无线电台(站)的设置、使用和无线电发射设备的研制、生产、进口、销售实施监督检查，征收无线电频率占用费，依法组织实施无线电管制。</w:t>
      </w:r>
    </w:p>
    <w:p w14:paraId="1A12247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14:paraId="000D29A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博尔塔拉蒙古自治州无线电管理中心2024年度，实有人数6人，其中：在职人员6人，较上年无变化；离休人员0人，较上年无变化；退休人员0人，较上年无变化；</w:t>
      </w:r>
    </w:p>
    <w:p w14:paraId="24A4AF8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博尔塔拉蒙古自治州无线电管理中心无下属预算单位，下设3个，分别是：综合科、业务科、监测站。</w:t>
      </w:r>
    </w:p>
    <w:p w14:paraId="2CE5052B">
      <w:pPr>
        <w:widowControl/>
      </w:pPr>
      <w:r>
        <w:rPr>
          <w:b w:val="0"/>
          <w:sz w:val="0"/>
          <w:szCs w:val="0"/>
        </w:rPr>
        <w:br w:type="page"/>
      </w:r>
    </w:p>
    <w:p w14:paraId="6FD17DB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14:paraId="41A502A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5965EF7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2024年度收入总计196.59万元，其中：本年收入合计196.59万元，使用非财政拨款结余（含专用结余）0.00万元，年初结转和结余0.00万元。</w:t>
      </w:r>
    </w:p>
    <w:p w14:paraId="786CA84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2024年度支出总计196.59万元，其中：本年支出合计196.59万元，结余分配0.00万元，年末结转和结余0.00万元。</w:t>
      </w:r>
    </w:p>
    <w:p w14:paraId="110D919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110.54万元，下降35.99%，主要原因是：一是一般公共预算财政拨款基本支出收入较上年增加6.34万元，主要为社会保险费住房公积金缴费基数上调，预算收入相应增加；二是一般公共预算财政拨款项目支出减少110.05万元，为中央无线电管理经费减少；三是使用非财政拨款较上年增加0.45万元，主要是本年使用非财政拨款资金安排项目；四是年初结转和结余较上年减少7.28万元，主要是湖北援疆项目-远程一体化”项目结转较上年减少7.28万元。综上各项资金有增有减，因此2024年度收入支出总计较上年减少。</w:t>
      </w:r>
    </w:p>
    <w:p w14:paraId="738A23F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7023B25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本年收入196.59万元，其中：财政拨款收入191.55万元,占97.44%；上级补助收入0.00万元,占0.00%；事业收入0.00万元，占0.00%；经营收入0.00万元,占0.00%；附属单位上缴收入0.00万元，占0.00%；其他收入5.05万元，占2.57%。</w:t>
      </w:r>
    </w:p>
    <w:p w14:paraId="28AA7F8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6446AE1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本年支出196.59万元，其中：基本支出148.21万元，占75.39%；项目支出48.38万元，占24.61%；上缴上级支出0.00万元，占0.00%；经营支出0.00万元，占0.00%；对附属单位补助支出0.00万元，占0.00%。</w:t>
      </w:r>
    </w:p>
    <w:p w14:paraId="5DE3F99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5F4BE25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2024年度财政拨款收入总计191.55万元，其中：年初财政拨款结转和结余0.00万元，本年财政拨款收入191.55万元。财政拨款支出总计191.55万元，其中：年末财政拨款结转和结余0.00万元，本年财政拨款支出191.55万元。</w:t>
      </w:r>
    </w:p>
    <w:p w14:paraId="3CC4DD5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103.70万元，下降35.12%，主要原因是：一是一般公共预算财政拨款基本支出收入较上年增加6.34万元，主要为社会保险费住房公积金缴费基数上调，预算收入相应增加；二是一般公共预算财政拨款项目支出减少110.04万元，为中央无线电管理经费减少。与年初预算相比，年初预算数186.19万元，决算数191.55万元，预决算差异率2.88%，主要原因是：在年度执行中，根据自治区财政厅下达文件追加及调减预算：</w:t>
      </w:r>
      <w:r>
        <w:rPr>
          <w:rFonts w:hint="eastAsia" w:ascii="仿宋_GB2312" w:eastAsia="仿宋_GB2312"/>
          <w:b w:val="0"/>
          <w:sz w:val="32"/>
          <w:szCs w:val="32"/>
          <w:lang w:val="en-US" w:eastAsia="zh-CN"/>
        </w:rPr>
        <w:t>一是</w:t>
      </w:r>
      <w:r>
        <w:rPr>
          <w:rFonts w:ascii="仿宋_GB2312" w:eastAsia="仿宋_GB2312"/>
          <w:b w:val="0"/>
          <w:sz w:val="32"/>
          <w:szCs w:val="32"/>
        </w:rPr>
        <w:t>基本支出中，追加自治区人员类项目经费9.13万元；调减自治区人员类经费2.81万元；</w:t>
      </w:r>
      <w:r>
        <w:rPr>
          <w:rFonts w:hint="eastAsia" w:ascii="仿宋_GB2312" w:eastAsia="仿宋_GB2312"/>
          <w:b w:val="0"/>
          <w:sz w:val="32"/>
          <w:szCs w:val="32"/>
          <w:lang w:val="en-US" w:eastAsia="zh-CN"/>
        </w:rPr>
        <w:t>二是</w:t>
      </w:r>
      <w:r>
        <w:rPr>
          <w:rFonts w:ascii="仿宋_GB2312" w:eastAsia="仿宋_GB2312"/>
          <w:b w:val="0"/>
          <w:sz w:val="32"/>
          <w:szCs w:val="32"/>
        </w:rPr>
        <w:t>项目支出中，调减2024年中央无线电管理经费0.96万元。由于以上事项，财政拨款收入支出决算数与年初预算数存在差异。</w:t>
      </w:r>
    </w:p>
    <w:p w14:paraId="4B72622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7C69DC1F">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（一）一般公共预算财政拨款支出决算总体情况</w:t>
      </w:r>
    </w:p>
    <w:p w14:paraId="1E65218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191.55万元，占本年支出合计的97.44%。与上年相比，减少103.70万元，下降35.12%，主要原因是：一是一般公共预算财政拨款基本支出增加6.34万元，主要为社会保险费、住房公积金缴费基数上调，预算收入相应增加；二是一般公共预算财政拨款项目支出较上年减少110.04万元，主要为中央无线电管理经费项目较上年减少。与年初预算相比，年初预算数186.19万元，决算数191.55万元，预决算差异率2.88%，主要原因是：在年度执行中，根据自治区财政厅下达文件追加及调减预算：</w:t>
      </w:r>
      <w:r>
        <w:rPr>
          <w:rFonts w:hint="eastAsia" w:ascii="仿宋_GB2312" w:eastAsia="仿宋_GB2312"/>
          <w:b w:val="0"/>
          <w:sz w:val="32"/>
          <w:szCs w:val="32"/>
          <w:lang w:val="en-US" w:eastAsia="zh-CN"/>
        </w:rPr>
        <w:t>一是</w:t>
      </w:r>
      <w:r>
        <w:rPr>
          <w:rFonts w:ascii="仿宋_GB2312" w:eastAsia="仿宋_GB2312"/>
          <w:b w:val="0"/>
          <w:sz w:val="32"/>
          <w:szCs w:val="32"/>
        </w:rPr>
        <w:t>基本支出中，追加自治区人员类项目经费9.13万元；调减自治区人员类经费2.81万元；</w:t>
      </w:r>
      <w:r>
        <w:rPr>
          <w:rFonts w:hint="eastAsia" w:ascii="仿宋_GB2312" w:eastAsia="仿宋_GB2312"/>
          <w:b w:val="0"/>
          <w:sz w:val="32"/>
          <w:szCs w:val="32"/>
          <w:lang w:val="en-US" w:eastAsia="zh-CN"/>
        </w:rPr>
        <w:t>二是</w:t>
      </w:r>
      <w:r>
        <w:rPr>
          <w:rFonts w:ascii="仿宋_GB2312" w:eastAsia="仿宋_GB2312"/>
          <w:b w:val="0"/>
          <w:sz w:val="32"/>
          <w:szCs w:val="32"/>
        </w:rPr>
        <w:t>项目支出中，调减2024年中央无线电管理经费0.96万元。由于以上事项，财政拨款收入支出决算数与年初预算数存在差异。</w:t>
      </w:r>
    </w:p>
    <w:p w14:paraId="54FDDC9D">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（二）一般公共预算财政拨款支出决算结构情况</w:t>
      </w:r>
    </w:p>
    <w:p w14:paraId="2319CAF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社会保障和就业支出（类）13.17万元，占6.88%。</w:t>
      </w:r>
    </w:p>
    <w:p w14:paraId="6D3CBA2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卫生健康支出（类）11.40万元，占5.95%。</w:t>
      </w:r>
    </w:p>
    <w:p w14:paraId="647CDFF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资源勘探工业信息等支出（类）157.09万元，占82.01%。</w:t>
      </w:r>
    </w:p>
    <w:p w14:paraId="658170A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住房保障支出（类）9.88万元，占5.16%。</w:t>
      </w:r>
    </w:p>
    <w:p w14:paraId="5D755F08">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（三）一般公共预算财政拨款支出决算具体情况</w:t>
      </w:r>
    </w:p>
    <w:p w14:paraId="50A4E7A4">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机关事业单位基本养老保险缴费支出（项）：支出决算数为13.17万元，比上年决算增加1.02万元，增长8.40%，主要原因是：事业单位基本养老保险缴费基数上调，相应人员费用增加，所以事业单位基本养老保险缴费支出增加。</w:t>
      </w:r>
    </w:p>
    <w:p w14:paraId="4282283E">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卫生健康支出（类）行政事业单位医疗（款）事业单位医疗（项）：支出决算数为8.93万元，比上年决算增加2.79万元，增长45.44%，主要原因是：事业单位医疗缴费基数上调，相应人员费用增加，所以事业单位医疗支出增加。</w:t>
      </w:r>
    </w:p>
    <w:p w14:paraId="7165C2B3">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3、卫生健康支出（类）行政事业单位医疗（款）公务员医疗补助（项）：支出决算数为2.47万元，比上年决算减少0.56万元，下降18.48%，主要原因是：202</w:t>
      </w:r>
      <w:r>
        <w:rPr>
          <w:rFonts w:hint="eastAsia" w:ascii="仿宋_GB2312" w:eastAsia="仿宋_GB2312"/>
          <w:b w:val="0"/>
          <w:sz w:val="32"/>
          <w:szCs w:val="32"/>
          <w:highlight w:val="none"/>
          <w:lang w:val="en-US" w:eastAsia="zh-CN"/>
        </w:rPr>
        <w:t>4</w:t>
      </w:r>
      <w:r>
        <w:rPr>
          <w:rFonts w:ascii="仿宋_GB2312" w:eastAsia="仿宋_GB2312"/>
          <w:b w:val="0"/>
          <w:sz w:val="32"/>
          <w:szCs w:val="32"/>
          <w:highlight w:val="none"/>
        </w:rPr>
        <w:t>年</w:t>
      </w:r>
      <w:r>
        <w:rPr>
          <w:rFonts w:hint="eastAsia" w:ascii="仿宋_GB2312" w:eastAsia="仿宋_GB2312"/>
          <w:b w:val="0"/>
          <w:sz w:val="32"/>
          <w:szCs w:val="32"/>
          <w:highlight w:val="none"/>
          <w:lang w:val="en-US" w:eastAsia="zh-CN"/>
        </w:rPr>
        <w:t>较上年减少</w:t>
      </w:r>
      <w:r>
        <w:rPr>
          <w:rFonts w:ascii="仿宋_GB2312" w:eastAsia="仿宋_GB2312"/>
          <w:b w:val="0"/>
          <w:sz w:val="32"/>
          <w:szCs w:val="32"/>
          <w:highlight w:val="none"/>
        </w:rPr>
        <w:t>事业单位公务员医疗补助缴费支出。</w:t>
      </w:r>
    </w:p>
    <w:p w14:paraId="716E95D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资源勘探工业信息等支出（类）工业和信息产业监管（款）无线电及信息通信监管（项）：支出决算数为157.09万元，比上年决算减少107.73万元，下降40.68%，主要原因是：本年单位较上年减少无线电基础设施构建项目支出，相应全年支出减少。</w:t>
      </w:r>
    </w:p>
    <w:p w14:paraId="242D66E5">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住房保障支出（类）住房改革支出（款）住房公积金（项）：支出决算数为9.88万元，比上年决算增加0.77万元，增长8.45%，主要原因是：事业单位住房公积金缴费基数上调，相应人员费用增加，所以事业单位住房公积金支出增加。</w:t>
      </w:r>
    </w:p>
    <w:p w14:paraId="4C7AF35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18A2A7E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148.21万元，其中：人员经费126.49万元，包括：基本工资、津贴补贴、奖金、绩效工资、机关事业单位基本养老保险缴费、职工基本医疗保险缴费、公务员医疗补助缴费、其他社会保障缴费和住房公积金。</w:t>
      </w:r>
    </w:p>
    <w:p w14:paraId="5C2511A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公用经费21.72万元，包括：办公费、邮电费、取暖费、差旅费、培训费、工会经费、福利费和公务用车运行维护费。</w:t>
      </w:r>
    </w:p>
    <w:p w14:paraId="7F02977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0542321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24D3E55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61C0131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1D25FF2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1366A35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12.00万元，比上年减少0.01万元，下降0.08%，主要原因是：严格执行中央八项规定及相关细则，做到“三公”经费只减不增，无预算不支出。其中：因公出国（境）费支出0.00万元,占0.00%，与上年相比无变化，主要原因是：我单位无因公出国（境）费；公务用车购置及运行维护费支出12.00万元，占100.00%，比上年减少0.01万元，下降0.08%，主要原因是：单位严格执行公务用车管理制度，严控公务用车购置及运行维护费事项支出，倡导绿色出行；公务接待费支出0.00万元，占0.00%，与上年相比无变化，主要原因是：我单位无公务接待费。</w:t>
      </w:r>
    </w:p>
    <w:p w14:paraId="51393AF3">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6853FD6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因公出国（境）费支出0.00万元，开支内容包括我单位无因公出国（境）费。单位全年安排的因公出国（境）团组0个，因公出国（境）0人次。</w:t>
      </w:r>
    </w:p>
    <w:p w14:paraId="5FC7379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12.00万元，其中：公务用车购置费0.00万元，公务用车运行维护费12.00万元。公务用车运行维护费开支内容包括车辆保险、停车过路费、车辆加油、车辆维修等费用。公务用车购置数0辆，公务用车保有量4辆。国有资产占用情况中固定资产车辆4辆，与公务用车保有量差异原因是：与公务用车保有量无差异。</w:t>
      </w:r>
    </w:p>
    <w:p w14:paraId="6F59B6C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公务接待费0.00万元，开支内容包括我单位无公务接待费预算和事项。单位全年安排的国内公务接待0批次，0人次。</w:t>
      </w:r>
    </w:p>
    <w:p w14:paraId="6ECBE3F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12.00万元，决算数12.00万元，预决算差异率0.00%，主要原因是：严格执行中央八项规定及相关细则，做到“三公”经费只减不增，无预算不支出。其中：因公出国（境）费全年预算数0.00万元，决算数0.00万元，预决算差异率0.00%，主要原因是：我单位无因公出国（境）费预算和事项；公务用车购置费全年预算数0.00万元，决算数0.00万元，预决算差异率0.00%，主要原因是：我单位无公务用车购置费预算和事项；公务用车运行维护费全年预算数12.00万元，决算数12.00万元，预决算差异率0.00%，主要原因是：严格执行中央八项规定及相关细则，做到“三公”经费只减不增，无预算不支出；公务接待费全年预算数0.00万元，决算数0.00万元，预决算差异率0.00%，主要原因是：我单位无公务接待费预算和事项。</w:t>
      </w:r>
    </w:p>
    <w:p w14:paraId="3E2F519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32373C4C">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（一）机关运行经费及公用经费支出情况</w:t>
      </w:r>
    </w:p>
    <w:p w14:paraId="5F8C9D9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2024年度博尔塔拉蒙古自治州无线电管理中心单位（事业单位）公用经费支出21.72万元，比上年减少0.42万元，下降1.90%，主要原因是：</w:t>
      </w:r>
      <w:r>
        <w:rPr>
          <w:rFonts w:hint="eastAsia" w:ascii="仿宋_GB2312" w:eastAsia="仿宋_GB2312"/>
          <w:b w:val="0"/>
          <w:sz w:val="32"/>
          <w:szCs w:val="32"/>
          <w:lang w:val="en-US" w:eastAsia="zh-CN"/>
        </w:rPr>
        <w:t>我单位厉行节约，</w:t>
      </w:r>
      <w:r>
        <w:rPr>
          <w:rFonts w:ascii="仿宋_GB2312" w:eastAsia="仿宋_GB2312"/>
          <w:b w:val="0"/>
          <w:sz w:val="32"/>
          <w:szCs w:val="32"/>
        </w:rPr>
        <w:t>严格控制公用经费支出，公用经费支出相应减少。</w:t>
      </w:r>
    </w:p>
    <w:p w14:paraId="6898A856">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（二）政府采购情况</w:t>
      </w:r>
    </w:p>
    <w:p w14:paraId="4C1FB6D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2024年度政府采购支出总额19.34万元，其中：政府采购货物支出4.19万元、政府采购工程支出0.00万元、政府采购服务支出15.15万元。</w:t>
      </w:r>
    </w:p>
    <w:p w14:paraId="02CA5B6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授予中小企业合同金额16.21万元，占政府采购支出总额的83.82%，其中：授予小微企业合同金额4.06万元，占政府采购支出总额的20.99%。</w:t>
      </w:r>
    </w:p>
    <w:p w14:paraId="555AB8BB">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（三）国有资产占用情况说明</w:t>
      </w:r>
    </w:p>
    <w:p w14:paraId="6E69A27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2,961.07平方米，价值831.32万元。车辆4辆，价值177.55万元，其中：副部（省）级及以上领导用车0辆、主要负责人用车0辆、机要通信用车0辆、应急保障用车0辆、执法执勤用车1辆、特种专业技术用车3辆、离退休干部服务用车0辆、其他用车0辆，其他用车主要是：我单位无其他用车;单价100万元（含）以上设备（不含车辆）5台（套）。</w:t>
      </w:r>
    </w:p>
    <w:p w14:paraId="21C1477A">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十一、预算绩效的情况说明</w:t>
      </w:r>
    </w:p>
    <w:p w14:paraId="1A7D86A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highlight w:val="none"/>
        </w:rPr>
        <w:t>根据预算绩效管理要求，本单位2024年度预算绩效评价项目1个，全年预算数5.08万元，全年执行数5.08万元。预算绩效管理取得的成效：一是严格执行《工信厅全面预算绩效管理办法》，日常对项目资金加快预算执行，确保绩效监控和绩效评价执行率，规范各项预算执行活动,确保预算执行的准确性、及时性和规范性,发挥财政资金的最大效用,取得了良好的绩效成果；二是各项工作实施及资金使用情况均在绩效目标设定时限完成，在项目经费的</w:t>
      </w:r>
      <w:bookmarkStart w:id="0" w:name="_GoBack"/>
      <w:bookmarkEnd w:id="0"/>
      <w:r>
        <w:rPr>
          <w:rFonts w:ascii="仿宋_GB2312" w:eastAsia="仿宋_GB2312"/>
          <w:b w:val="0"/>
          <w:sz w:val="32"/>
          <w:szCs w:val="32"/>
          <w:highlight w:val="none"/>
        </w:rPr>
        <w:t>使用上，在保证各项任务顺利完成的同时，严格落实厉行节约的原则；三是突出做好项目保障工作，确保项目质量和效益，助力经济高质量发展，维护社会稳定和长治久安。发现的问题及原因：预算执行率低，致使项目绩效监控节点时，影响绩效评价总体分值，主要原因：一是根据项目属性，基础设施构建项目执行期较长，相应合同执行期长；二是政府采购项目流程复杂。下一步改进措施</w:t>
      </w:r>
      <w:r>
        <w:rPr>
          <w:rFonts w:ascii="仿宋_GB2312" w:eastAsia="仿宋_GB2312"/>
          <w:b w:val="0"/>
          <w:sz w:val="32"/>
          <w:szCs w:val="32"/>
        </w:rPr>
        <w:t>：一是完善各项内控制度，建立上下协调、科室联动、层层抓落实的工作责任制，将绩效管理责任分解落实到具体科室、明确到具体责任人，确保每一笔资金花得安全、用得高效；二是加强对专项资金预算绩效监控力度，加强对专项资金预算执行力度的考核，确保项目执行按期完成；三是建立健全绩效管理与预算管理 有机结合的工作机制，落实绩效评价结果成为预算编制的重要参考因素。具体附部门整体支出绩效自评表，项目支出绩效自评表和部门评价报告。</w:t>
      </w:r>
    </w:p>
    <w:p w14:paraId="5DB08BD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6922D44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14:paraId="39409A21">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6FBDDBFA">
      <w:pPr>
        <w:widowControl/>
      </w:pPr>
      <w:r>
        <w:rPr>
          <w:b w:val="0"/>
          <w:sz w:val="0"/>
          <w:szCs w:val="0"/>
        </w:rPr>
        <w:br w:type="page"/>
      </w:r>
    </w:p>
    <w:p w14:paraId="4CE928A3">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14:paraId="0BF05D4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5EE6017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464FCA2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260BBF9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571AE04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07F01E1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14:paraId="1AB2E80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1C410A4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2A099F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562F5CC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5C22C53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2CC8AF2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1B0D428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0E3F4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27D02FDE">
      <w:pPr>
        <w:widowControl/>
      </w:pPr>
      <w:r>
        <w:rPr>
          <w:b w:val="0"/>
          <w:sz w:val="0"/>
          <w:szCs w:val="0"/>
        </w:rPr>
        <w:br w:type="page"/>
      </w:r>
    </w:p>
    <w:p w14:paraId="0F132C18">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14:paraId="01612AE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69EB4A9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7FD8870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714D90A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792E45C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1068C9F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0472EBA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4018C68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1D6BF41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000000"/>
    <w:rsid w:val="02CD3CC1"/>
    <w:rsid w:val="06FD269B"/>
    <w:rsid w:val="11680E76"/>
    <w:rsid w:val="12617F82"/>
    <w:rsid w:val="13CC1D73"/>
    <w:rsid w:val="143F2545"/>
    <w:rsid w:val="1A3441CE"/>
    <w:rsid w:val="231828DF"/>
    <w:rsid w:val="255C2DB7"/>
    <w:rsid w:val="270E64D3"/>
    <w:rsid w:val="2A27165A"/>
    <w:rsid w:val="2E473F3E"/>
    <w:rsid w:val="2EE42846"/>
    <w:rsid w:val="3115220C"/>
    <w:rsid w:val="39E92488"/>
    <w:rsid w:val="3B2A12F0"/>
    <w:rsid w:val="40C77C97"/>
    <w:rsid w:val="43AA712C"/>
    <w:rsid w:val="474B6530"/>
    <w:rsid w:val="509076C6"/>
    <w:rsid w:val="50A74FAA"/>
    <w:rsid w:val="55620E3C"/>
    <w:rsid w:val="565C2507"/>
    <w:rsid w:val="5B9242D5"/>
    <w:rsid w:val="5EE237C6"/>
    <w:rsid w:val="5FE552B9"/>
    <w:rsid w:val="72465E4A"/>
    <w:rsid w:val="76674885"/>
    <w:rsid w:val="77B376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6274</Words>
  <Characters>6898</Characters>
  <TotalTime>0</TotalTime>
  <ScaleCrop>false</ScaleCrop>
  <LinksUpToDate>false</LinksUpToDate>
  <CharactersWithSpaces>6899</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2025-08-21T03:31:00Z</dcterms:created>
  <dc:creator>Administrator</dc:creator>
  <cp:lastModifiedBy>久溺深海</cp:lastModifiedBy>
  <dcterms:modified xsi:type="dcterms:W3CDTF">2025-08-26T11:58:21Z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eyJoZGlkIjoiNmZkMjYyYzAxYjhmOGVmYjRhNDdiNWU4MjMwYTAyNjgiLCJ1c2VySWQiOiIyNTIzNDE3MTMifQ==</vt:lpwstr>
  </property>
  <property fmtid="{D5CDD505-2E9C-101B-9397-08002B2CF9AE}" pid="3" name="KSOProductBuildVer">
    <vt:lpwstr>2052-12.1.0.22529</vt:lpwstr>
  </property>
  <property fmtid="{D5CDD505-2E9C-101B-9397-08002B2CF9AE}" pid="4" name="ICV">
    <vt:lpwstr>65398598E8FF45BDADB15C1DC8102824_12</vt:lpwstr>
  </property>
</Properties>
</file>