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67436A">
      <w:pPr>
        <w:spacing w:line="540" w:lineRule="exact"/>
        <w:jc w:val="both"/>
        <w:rPr>
          <w:rFonts w:hint="eastAsia" w:ascii="方正小标宋_GBK" w:hAnsi="华文中宋" w:eastAsia="方正小标宋_GBK" w:cs="宋体"/>
          <w:b/>
          <w:kern w:val="0"/>
          <w:sz w:val="48"/>
          <w:szCs w:val="48"/>
        </w:rPr>
      </w:pPr>
    </w:p>
    <w:p w14:paraId="760E479F">
      <w:pPr>
        <w:spacing w:line="540" w:lineRule="exact"/>
        <w:jc w:val="center"/>
        <w:rPr>
          <w:rFonts w:hint="eastAsia" w:ascii="方正小标宋_GBK" w:hAnsi="华文中宋" w:eastAsia="方正小标宋_GBK" w:cs="宋体"/>
          <w:b/>
          <w:kern w:val="0"/>
          <w:sz w:val="48"/>
          <w:szCs w:val="48"/>
        </w:rPr>
      </w:pPr>
    </w:p>
    <w:p w14:paraId="47E8F74A">
      <w:pPr>
        <w:spacing w:line="540" w:lineRule="exact"/>
        <w:jc w:val="center"/>
        <w:rPr>
          <w:rFonts w:hint="eastAsia" w:ascii="方正小标宋_GBK" w:hAnsi="华文中宋" w:eastAsia="方正小标宋_GBK" w:cs="宋体"/>
          <w:b/>
          <w:kern w:val="0"/>
          <w:sz w:val="48"/>
          <w:szCs w:val="48"/>
        </w:rPr>
      </w:pPr>
    </w:p>
    <w:p w14:paraId="3E4EB6A4">
      <w:pPr>
        <w:spacing w:line="540" w:lineRule="exact"/>
        <w:jc w:val="center"/>
        <w:rPr>
          <w:rFonts w:hint="eastAsia" w:ascii="方正小标宋_GBK" w:hAnsi="华文中宋" w:eastAsia="方正小标宋_GBK" w:cs="宋体"/>
          <w:b/>
          <w:kern w:val="0"/>
          <w:sz w:val="48"/>
          <w:szCs w:val="48"/>
        </w:rPr>
      </w:pPr>
    </w:p>
    <w:p w14:paraId="26CA4A48">
      <w:pPr>
        <w:spacing w:line="540" w:lineRule="exact"/>
        <w:jc w:val="center"/>
        <w:rPr>
          <w:rFonts w:hint="eastAsia" w:ascii="方正小标宋_GBK" w:hAnsi="华文中宋" w:eastAsia="方正小标宋_GBK" w:cs="宋体"/>
          <w:b/>
          <w:kern w:val="0"/>
          <w:sz w:val="48"/>
          <w:szCs w:val="48"/>
        </w:rPr>
      </w:pPr>
      <w:r>
        <w:rPr>
          <w:rFonts w:hint="eastAsia" w:ascii="方正小标宋_GBK" w:hAnsi="方正小标宋_GBK" w:eastAsia="方正小标宋_GBK" w:cs="方正小标宋_GBK"/>
          <w:b/>
          <w:bCs/>
          <w:sz w:val="48"/>
          <w:szCs w:val="48"/>
          <w:lang w:val="en-US" w:eastAsia="zh-CN"/>
        </w:rPr>
        <w:t>博州</w:t>
      </w:r>
      <w:r>
        <w:rPr>
          <w:rFonts w:hint="eastAsia" w:ascii="方正小标宋_GBK" w:hAnsi="方正小标宋_GBK" w:eastAsia="方正小标宋_GBK" w:cs="方正小标宋_GBK"/>
          <w:b/>
          <w:bCs/>
          <w:sz w:val="48"/>
          <w:szCs w:val="48"/>
        </w:rPr>
        <w:t>监测中心业务楼维修维护</w:t>
      </w:r>
      <w:r>
        <w:rPr>
          <w:rFonts w:hint="eastAsia" w:ascii="方正小标宋_GBK" w:hAnsi="华文中宋" w:eastAsia="方正小标宋_GBK" w:cs="宋体"/>
          <w:b/>
          <w:kern w:val="0"/>
          <w:sz w:val="48"/>
          <w:szCs w:val="48"/>
        </w:rPr>
        <w:t>项目</w:t>
      </w:r>
    </w:p>
    <w:p w14:paraId="2B9531FC">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支出绩效自评报告</w:t>
      </w:r>
    </w:p>
    <w:p w14:paraId="4895E101">
      <w:pPr>
        <w:spacing w:line="540" w:lineRule="exact"/>
        <w:jc w:val="center"/>
        <w:rPr>
          <w:rFonts w:ascii="华文中宋" w:hAnsi="华文中宋" w:eastAsia="华文中宋" w:cs="宋体"/>
          <w:b/>
          <w:kern w:val="0"/>
          <w:sz w:val="52"/>
          <w:szCs w:val="52"/>
        </w:rPr>
      </w:pPr>
    </w:p>
    <w:p w14:paraId="10463CFF">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Fonts w:hint="eastAsia" w:hAnsi="宋体" w:eastAsia="仿宋_GB2312" w:cs="宋体"/>
          <w:kern w:val="0"/>
          <w:sz w:val="36"/>
          <w:szCs w:val="36"/>
          <w:lang w:val="en-US" w:eastAsia="zh-CN"/>
        </w:rPr>
        <w:t>2024</w:t>
      </w:r>
      <w:r>
        <w:rPr>
          <w:rFonts w:hint="eastAsia" w:hAnsi="宋体" w:eastAsia="仿宋_GB2312" w:cs="宋体"/>
          <w:kern w:val="0"/>
          <w:sz w:val="36"/>
          <w:szCs w:val="36"/>
        </w:rPr>
        <w:t xml:space="preserve"> 年度）</w:t>
      </w:r>
    </w:p>
    <w:p w14:paraId="42122FFC">
      <w:pPr>
        <w:spacing w:line="540" w:lineRule="exact"/>
        <w:jc w:val="center"/>
        <w:rPr>
          <w:rFonts w:hAnsi="宋体" w:eastAsia="仿宋_GB2312" w:cs="宋体"/>
          <w:kern w:val="0"/>
          <w:sz w:val="30"/>
          <w:szCs w:val="30"/>
        </w:rPr>
      </w:pPr>
    </w:p>
    <w:p w14:paraId="7342D597">
      <w:pPr>
        <w:spacing w:line="540" w:lineRule="exact"/>
        <w:jc w:val="both"/>
        <w:rPr>
          <w:rFonts w:ascii="方正小标宋_GBK" w:hAnsi="宋体" w:eastAsia="方正小标宋_GBK" w:cs="宋体"/>
          <w:kern w:val="0"/>
          <w:sz w:val="36"/>
          <w:szCs w:val="36"/>
        </w:rPr>
      </w:pPr>
    </w:p>
    <w:p w14:paraId="6A127989">
      <w:pPr>
        <w:spacing w:line="540" w:lineRule="exact"/>
        <w:jc w:val="center"/>
        <w:rPr>
          <w:rFonts w:hAnsi="宋体" w:eastAsia="仿宋_GB2312" w:cs="宋体"/>
          <w:kern w:val="0"/>
          <w:sz w:val="30"/>
          <w:szCs w:val="30"/>
        </w:rPr>
      </w:pPr>
    </w:p>
    <w:p w14:paraId="3C1CC48B">
      <w:pPr>
        <w:spacing w:line="540" w:lineRule="exact"/>
        <w:jc w:val="center"/>
        <w:rPr>
          <w:rFonts w:hAnsi="宋体" w:eastAsia="仿宋_GB2312" w:cs="宋体"/>
          <w:kern w:val="0"/>
          <w:sz w:val="30"/>
          <w:szCs w:val="30"/>
        </w:rPr>
      </w:pPr>
    </w:p>
    <w:p w14:paraId="3AFF4B90">
      <w:pPr>
        <w:spacing w:line="540" w:lineRule="exact"/>
        <w:jc w:val="center"/>
        <w:rPr>
          <w:rFonts w:hAnsi="宋体" w:eastAsia="仿宋_GB2312" w:cs="宋体"/>
          <w:kern w:val="0"/>
          <w:sz w:val="30"/>
          <w:szCs w:val="30"/>
        </w:rPr>
      </w:pPr>
    </w:p>
    <w:p w14:paraId="40B191B0">
      <w:pPr>
        <w:spacing w:line="540" w:lineRule="exact"/>
        <w:rPr>
          <w:rFonts w:hAnsi="宋体" w:eastAsia="仿宋_GB2312" w:cs="宋体"/>
          <w:kern w:val="0"/>
          <w:sz w:val="30"/>
          <w:szCs w:val="30"/>
        </w:rPr>
      </w:pPr>
    </w:p>
    <w:p w14:paraId="2CD2748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7580651">
      <w:pPr>
        <w:spacing w:line="700" w:lineRule="exact"/>
        <w:ind w:firstLine="900" w:firstLineChars="250"/>
        <w:jc w:val="left"/>
        <w:rPr>
          <w:rFonts w:hint="eastAsia" w:hAnsi="宋体" w:eastAsia="仿宋" w:cs="宋体"/>
          <w:kern w:val="0"/>
          <w:sz w:val="36"/>
          <w:szCs w:val="36"/>
          <w:lang w:val="en-US" w:eastAsia="zh-CN"/>
        </w:rPr>
      </w:pPr>
      <w:r>
        <w:rPr>
          <w:rFonts w:hint="eastAsia" w:hAnsi="宋体" w:eastAsia="仿宋_GB2312" w:cs="宋体"/>
          <w:kern w:val="0"/>
          <w:sz w:val="36"/>
          <w:szCs w:val="36"/>
        </w:rPr>
        <w:t>项目名称：</w:t>
      </w:r>
      <w:r>
        <w:rPr>
          <w:rFonts w:hint="eastAsia" w:ascii="仿宋" w:hAnsi="仿宋" w:eastAsia="仿宋" w:cs="仿宋"/>
          <w:b w:val="0"/>
          <w:bCs w:val="0"/>
          <w:sz w:val="36"/>
          <w:szCs w:val="36"/>
        </w:rPr>
        <w:t>监测中心业务楼维修维护</w:t>
      </w:r>
      <w:r>
        <w:rPr>
          <w:rFonts w:hint="eastAsia" w:ascii="仿宋" w:hAnsi="仿宋" w:eastAsia="仿宋" w:cs="仿宋"/>
          <w:b w:val="0"/>
          <w:bCs w:val="0"/>
          <w:sz w:val="36"/>
          <w:szCs w:val="36"/>
          <w:lang w:val="en-US" w:eastAsia="zh-CN"/>
        </w:rPr>
        <w:t>项目</w:t>
      </w:r>
    </w:p>
    <w:p w14:paraId="67036F72">
      <w:pPr>
        <w:spacing w:line="540" w:lineRule="exact"/>
        <w:ind w:firstLine="567"/>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 xml:space="preserve">  实施单位（公章）：</w:t>
      </w:r>
      <w:r>
        <w:rPr>
          <w:rFonts w:hint="eastAsia" w:hAnsi="宋体" w:eastAsia="仿宋_GB2312" w:cs="宋体"/>
          <w:kern w:val="0"/>
          <w:sz w:val="36"/>
          <w:szCs w:val="36"/>
          <w:lang w:val="en-US" w:eastAsia="zh-CN"/>
        </w:rPr>
        <w:t>博州无线电管理局</w:t>
      </w:r>
    </w:p>
    <w:p w14:paraId="33240D34">
      <w:pPr>
        <w:spacing w:line="540" w:lineRule="exact"/>
        <w:ind w:firstLine="900" w:firstLineChars="250"/>
        <w:rPr>
          <w:rFonts w:hint="default" w:ascii="楷体" w:hAnsi="楷体" w:eastAsia="仿宋_GB2312"/>
          <w:b/>
          <w:bCs/>
          <w:spacing w:val="-4"/>
          <w:sz w:val="28"/>
          <w:szCs w:val="28"/>
          <w:lang w:val="en-US" w:eastAsia="zh-CN"/>
        </w:rPr>
      </w:pPr>
      <w:r>
        <w:rPr>
          <w:rFonts w:hint="eastAsia" w:hAnsi="宋体" w:eastAsia="仿宋_GB2312" w:cs="宋体"/>
          <w:kern w:val="0"/>
          <w:sz w:val="36"/>
          <w:szCs w:val="36"/>
        </w:rPr>
        <w:t>主管部门（公章）：</w:t>
      </w:r>
      <w:r>
        <w:rPr>
          <w:rFonts w:hint="eastAsia" w:hAnsi="宋体" w:eastAsia="仿宋_GB2312" w:cs="宋体"/>
          <w:kern w:val="0"/>
          <w:sz w:val="36"/>
          <w:szCs w:val="36"/>
          <w:lang w:val="en-US" w:eastAsia="zh-CN"/>
        </w:rPr>
        <w:t>自治区工业和信息化厅</w:t>
      </w:r>
    </w:p>
    <w:p w14:paraId="0EBF549B">
      <w:pPr>
        <w:spacing w:line="540" w:lineRule="exact"/>
        <w:ind w:firstLine="900" w:firstLineChars="250"/>
        <w:rPr>
          <w:rFonts w:hint="eastAsia" w:ascii="楷体" w:hAnsi="楷体" w:eastAsia="仿宋_GB2312"/>
          <w:b/>
          <w:bCs/>
          <w:spacing w:val="-4"/>
          <w:sz w:val="32"/>
          <w:szCs w:val="32"/>
          <w:lang w:val="en-US"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val="en-US" w:eastAsia="zh-CN"/>
        </w:rPr>
        <w:t>鱼胜利</w:t>
      </w:r>
    </w:p>
    <w:p w14:paraId="6C72CF4D">
      <w:pPr>
        <w:spacing w:line="540" w:lineRule="exact"/>
        <w:ind w:left="273" w:firstLine="567"/>
        <w:rPr>
          <w:rStyle w:val="12"/>
          <w:rFonts w:hint="eastAsia" w:ascii="楷体" w:hAnsi="楷体" w:eastAsia="仿宋_GB2312"/>
          <w:spacing w:val="-4"/>
          <w:sz w:val="32"/>
          <w:szCs w:val="32"/>
          <w:lang w:val="en-US" w:eastAsia="zh-CN"/>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2025年3月11日</w:t>
      </w:r>
    </w:p>
    <w:p w14:paraId="667E2E07">
      <w:pPr>
        <w:spacing w:line="700" w:lineRule="exact"/>
        <w:ind w:firstLine="708" w:firstLineChars="236"/>
        <w:jc w:val="left"/>
        <w:rPr>
          <w:rFonts w:hAnsi="宋体" w:eastAsia="仿宋_GB2312" w:cs="宋体"/>
          <w:kern w:val="0"/>
          <w:sz w:val="30"/>
          <w:szCs w:val="30"/>
        </w:rPr>
      </w:pPr>
    </w:p>
    <w:p w14:paraId="3EEA0D86">
      <w:pPr>
        <w:spacing w:line="540" w:lineRule="exact"/>
        <w:rPr>
          <w:rStyle w:val="12"/>
          <w:rFonts w:ascii="黑体" w:hAnsi="黑体" w:eastAsia="黑体"/>
          <w:b w:val="0"/>
          <w:spacing w:val="-4"/>
          <w:sz w:val="32"/>
          <w:szCs w:val="32"/>
        </w:rPr>
      </w:pPr>
    </w:p>
    <w:p w14:paraId="484FFFD9">
      <w:pPr>
        <w:jc w:val="center"/>
        <w:rPr>
          <w:rFonts w:ascii="仿宋_GB2312"/>
        </w:rPr>
      </w:pPr>
    </w:p>
    <w:p w14:paraId="1A6E74CB">
      <w:pPr>
        <w:jc w:val="both"/>
        <w:rPr>
          <w:rFonts w:ascii="仿宋_GB2312"/>
        </w:rPr>
      </w:pPr>
    </w:p>
    <w:p w14:paraId="4B49821D">
      <w:pPr>
        <w:jc w:val="center"/>
        <w:rPr>
          <w:rFonts w:ascii="仿宋_GB2312"/>
          <w:szCs w:val="30"/>
        </w:rPr>
      </w:pPr>
    </w:p>
    <w:p w14:paraId="2F9AF10A">
      <w:pPr>
        <w:spacing w:line="600" w:lineRule="exact"/>
        <w:ind w:firstLine="600" w:firstLineChars="200"/>
        <w:rPr>
          <w:rFonts w:ascii="黑体" w:hAnsi="黑体" w:eastAsia="黑体"/>
        </w:rPr>
      </w:pPr>
      <w:r>
        <w:rPr>
          <w:rFonts w:hint="eastAsia" w:ascii="黑体" w:hAnsi="黑体" w:eastAsia="黑体"/>
        </w:rPr>
        <w:t>一、基本情况</w:t>
      </w:r>
    </w:p>
    <w:p w14:paraId="58CF831D">
      <w:pPr>
        <w:spacing w:line="600" w:lineRule="exact"/>
        <w:ind w:firstLine="640" w:firstLineChars="200"/>
        <w:outlineLvl w:val="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（一）项目概况。</w:t>
      </w:r>
    </w:p>
    <w:p w14:paraId="7D370121">
      <w:pPr>
        <w:spacing w:line="600" w:lineRule="exact"/>
        <w:ind w:firstLine="624" w:firstLineChars="200"/>
        <w:rPr>
          <w:rFonts w:hint="eastAsia" w:ascii="仿宋_GB2312" w:hAnsi="仿宋_GB2312" w:eastAsia="仿宋_GB2312" w:cs="仿宋_GB2312"/>
          <w:sz w:val="32"/>
          <w:szCs w:val="32"/>
        </w:rPr>
      </w:pPr>
      <w:r>
        <w:rPr>
          <w:rStyle w:val="12"/>
          <w:rFonts w:hint="eastAsia" w:ascii="仿宋_GB2312" w:hAnsi="仿宋_GB2312" w:eastAsia="仿宋_GB2312" w:cs="仿宋_GB2312"/>
          <w:bCs w:val="0"/>
          <w:sz w:val="32"/>
          <w:szCs w:val="32"/>
        </w:rPr>
        <w:t>项目背景：</w:t>
      </w:r>
      <w:r>
        <w:rPr>
          <w:rFonts w:hint="eastAsia" w:ascii="仿宋_GB2312" w:hAnsi="仿宋_GB2312" w:eastAsia="仿宋_GB2312" w:cs="仿宋_GB2312"/>
          <w:sz w:val="32"/>
          <w:szCs w:val="32"/>
        </w:rPr>
        <w:t>为深入贯彻习近平总书记关于安全生产重要论述，牢固树立安全发展理念，有效防范和化解各类安全风险，按照自治区安全生产电视电话会议精神，坚决守稳安全生产基本盘，为推动实现新疆社会稳定和长治久安总目标提供坚实的安全生产保障，博州无线电管理局为保证国有资产增值保值，根据单位资产的实际需要，对监测中心业务楼进行维修维护，坚决防止各类安全生产事故的发生。</w:t>
      </w:r>
    </w:p>
    <w:p w14:paraId="31DAE877">
      <w:pPr>
        <w:keepNext w:val="0"/>
        <w:keepLines w:val="0"/>
        <w:pageBreakBefore w:val="0"/>
        <w:kinsoku/>
        <w:wordWrap/>
        <w:overflowPunct/>
        <w:topLinePunct w:val="0"/>
        <w:autoSpaceDE/>
        <w:autoSpaceDN/>
        <w:bidi w:val="0"/>
        <w:adjustRightInd/>
        <w:snapToGrid/>
        <w:spacing w:after="0" w:line="540" w:lineRule="exact"/>
        <w:ind w:left="0" w:leftChars="0" w:right="0" w:rightChars="0" w:firstLine="624" w:firstLineChars="200"/>
        <w:textAlignment w:val="auto"/>
        <w:outlineLvl w:val="9"/>
        <w:rPr>
          <w:rStyle w:val="12"/>
          <w:rFonts w:hint="eastAsia" w:ascii="仿宋_GB2312" w:hAnsi="仿宋_GB2312" w:eastAsia="仿宋_GB2312" w:cs="仿宋_GB2312"/>
          <w:b w:val="0"/>
          <w:bCs w:val="0"/>
          <w:spacing w:val="-4"/>
          <w:sz w:val="32"/>
          <w:szCs w:val="32"/>
        </w:rPr>
      </w:pPr>
      <w:r>
        <w:rPr>
          <w:rStyle w:val="12"/>
          <w:rFonts w:hint="eastAsia" w:ascii="仿宋_GB2312" w:hAnsi="仿宋_GB2312" w:eastAsia="仿宋_GB2312" w:cs="仿宋_GB2312"/>
          <w:bCs w:val="0"/>
          <w:sz w:val="32"/>
          <w:szCs w:val="32"/>
        </w:rPr>
        <w:t>项目主要内容：</w:t>
      </w:r>
      <w:r>
        <w:rPr>
          <w:rStyle w:val="12"/>
          <w:rFonts w:hint="eastAsia" w:ascii="仿宋_GB2312" w:hAnsi="仿宋_GB2312" w:eastAsia="仿宋_GB2312" w:cs="仿宋_GB2312"/>
          <w:sz w:val="32"/>
          <w:szCs w:val="32"/>
        </w:rPr>
        <w:t>根据202</w:t>
      </w:r>
      <w:r>
        <w:rPr>
          <w:rStyle w:val="12"/>
          <w:rFonts w:hint="eastAsia" w:ascii="仿宋_GB2312" w:hAnsi="仿宋_GB2312" w:cs="仿宋_GB2312"/>
          <w:sz w:val="32"/>
          <w:szCs w:val="32"/>
          <w:lang w:val="en-US" w:eastAsia="zh-CN"/>
        </w:rPr>
        <w:t>4</w:t>
      </w:r>
      <w:r>
        <w:rPr>
          <w:rStyle w:val="12"/>
          <w:rFonts w:hint="eastAsia" w:ascii="仿宋_GB2312" w:hAnsi="仿宋_GB2312" w:eastAsia="仿宋_GB2312" w:cs="仿宋_GB2312"/>
          <w:sz w:val="32"/>
          <w:szCs w:val="32"/>
        </w:rPr>
        <w:t>年</w:t>
      </w:r>
      <w:r>
        <w:rPr>
          <w:rStyle w:val="12"/>
          <w:rFonts w:hint="eastAsia" w:ascii="仿宋_GB2312" w:hAnsi="仿宋_GB2312" w:eastAsia="仿宋_GB2312" w:cs="仿宋_GB2312"/>
          <w:b w:val="0"/>
          <w:bCs w:val="0"/>
          <w:spacing w:val="-4"/>
          <w:sz w:val="32"/>
          <w:szCs w:val="32"/>
          <w:lang w:val="en-US" w:eastAsia="zh-CN"/>
        </w:rPr>
        <w:t>项目预算</w:t>
      </w:r>
      <w:r>
        <w:rPr>
          <w:rStyle w:val="12"/>
          <w:rFonts w:hint="eastAsia" w:ascii="仿宋_GB2312" w:hAnsi="仿宋_GB2312" w:eastAsia="仿宋_GB2312" w:cs="仿宋_GB2312"/>
          <w:sz w:val="32"/>
          <w:szCs w:val="32"/>
        </w:rPr>
        <w:t>总体要求，结合</w:t>
      </w:r>
      <w:r>
        <w:rPr>
          <w:rStyle w:val="12"/>
          <w:rFonts w:hint="eastAsia" w:ascii="仿宋_GB2312" w:hAnsi="仿宋_GB2312" w:eastAsia="仿宋_GB2312" w:cs="仿宋_GB2312"/>
          <w:b w:val="0"/>
          <w:bCs w:val="0"/>
          <w:color w:val="000000"/>
          <w:spacing w:val="-4"/>
          <w:sz w:val="32"/>
          <w:szCs w:val="32"/>
          <w:shd w:val="clear" w:color="FFFFFF" w:fill="FFFFFF"/>
        </w:rPr>
        <w:t>博州无线电管理局</w:t>
      </w:r>
      <w:r>
        <w:rPr>
          <w:rStyle w:val="12"/>
          <w:rFonts w:hint="eastAsia" w:ascii="仿宋_GB2312" w:hAnsi="仿宋_GB2312" w:eastAsia="仿宋_GB2312" w:cs="仿宋_GB2312"/>
          <w:bCs w:val="0"/>
          <w:sz w:val="32"/>
          <w:szCs w:val="32"/>
        </w:rPr>
        <w:t>单位</w:t>
      </w:r>
      <w:r>
        <w:rPr>
          <w:rStyle w:val="12"/>
          <w:rFonts w:hint="eastAsia" w:ascii="仿宋_GB2312" w:hAnsi="仿宋_GB2312" w:eastAsia="仿宋_GB2312" w:cs="仿宋_GB2312"/>
          <w:sz w:val="32"/>
          <w:szCs w:val="32"/>
        </w:rPr>
        <w:t>工作计划。</w:t>
      </w:r>
      <w:r>
        <w:rPr>
          <w:rStyle w:val="12"/>
          <w:rFonts w:hint="eastAsia" w:ascii="仿宋_GB2312" w:hAnsi="仿宋_GB2312" w:eastAsia="仿宋_GB2312" w:cs="仿宋_GB2312"/>
          <w:bCs w:val="0"/>
          <w:sz w:val="32"/>
          <w:szCs w:val="32"/>
        </w:rPr>
        <w:t>纳入202</w:t>
      </w:r>
      <w:r>
        <w:rPr>
          <w:rStyle w:val="12"/>
          <w:rFonts w:hint="eastAsia" w:ascii="仿宋_GB2312" w:hAnsi="仿宋_GB2312" w:cs="仿宋_GB2312"/>
          <w:bCs w:val="0"/>
          <w:sz w:val="32"/>
          <w:szCs w:val="32"/>
          <w:lang w:val="en-US" w:eastAsia="zh-CN"/>
        </w:rPr>
        <w:t>4</w:t>
      </w:r>
      <w:r>
        <w:rPr>
          <w:rStyle w:val="12"/>
          <w:rFonts w:hint="eastAsia" w:ascii="仿宋_GB2312" w:hAnsi="仿宋_GB2312" w:eastAsia="仿宋_GB2312" w:cs="仿宋_GB2312"/>
          <w:bCs w:val="0"/>
          <w:sz w:val="32"/>
          <w:szCs w:val="32"/>
        </w:rPr>
        <w:t>年部门预算，申报</w:t>
      </w:r>
      <w:r>
        <w:rPr>
          <w:rFonts w:hint="eastAsia" w:ascii="仿宋_GB2312" w:hAnsi="仿宋_GB2312" w:eastAsia="仿宋_GB2312" w:cs="仿宋_GB2312"/>
          <w:b w:val="0"/>
          <w:bCs w:val="0"/>
          <w:sz w:val="32"/>
          <w:szCs w:val="32"/>
        </w:rPr>
        <w:t>监测中心业务楼维修维护</w:t>
      </w:r>
      <w:r>
        <w:rPr>
          <w:rStyle w:val="12"/>
          <w:rFonts w:hint="eastAsia" w:ascii="仿宋_GB2312" w:hAnsi="仿宋_GB2312" w:eastAsia="仿宋_GB2312" w:cs="仿宋_GB2312"/>
          <w:b w:val="0"/>
          <w:bCs w:val="0"/>
          <w:spacing w:val="-4"/>
          <w:sz w:val="32"/>
          <w:szCs w:val="32"/>
          <w:lang w:val="en-US" w:eastAsia="zh-CN"/>
        </w:rPr>
        <w:t>项目预算</w:t>
      </w:r>
      <w:r>
        <w:rPr>
          <w:rStyle w:val="12"/>
          <w:rFonts w:hint="eastAsia" w:ascii="仿宋_GB2312" w:hAnsi="仿宋_GB2312" w:cs="仿宋_GB2312"/>
          <w:b w:val="0"/>
          <w:bCs w:val="0"/>
          <w:sz w:val="32"/>
          <w:szCs w:val="32"/>
          <w:lang w:val="en-US" w:eastAsia="zh-CN"/>
        </w:rPr>
        <w:t>5.08</w:t>
      </w:r>
      <w:r>
        <w:rPr>
          <w:rStyle w:val="12"/>
          <w:rFonts w:hint="eastAsia" w:ascii="仿宋_GB2312" w:hAnsi="仿宋_GB2312" w:eastAsia="仿宋_GB2312" w:cs="仿宋_GB2312"/>
          <w:b w:val="0"/>
          <w:bCs w:val="0"/>
          <w:sz w:val="32"/>
          <w:szCs w:val="32"/>
        </w:rPr>
        <w:t>万元，</w:t>
      </w:r>
      <w:r>
        <w:rPr>
          <w:rStyle w:val="12"/>
          <w:rFonts w:hint="eastAsia" w:ascii="仿宋_GB2312" w:hAnsi="仿宋_GB2312" w:eastAsia="仿宋_GB2312" w:cs="仿宋_GB2312"/>
          <w:b w:val="0"/>
          <w:bCs w:val="0"/>
          <w:spacing w:val="-4"/>
          <w:sz w:val="32"/>
          <w:szCs w:val="32"/>
          <w:lang w:val="en-US" w:eastAsia="zh-CN"/>
        </w:rPr>
        <w:t>用于无线电监测业务楼维修维护</w:t>
      </w:r>
      <w:r>
        <w:rPr>
          <w:rStyle w:val="12"/>
          <w:rFonts w:hint="eastAsia" w:ascii="仿宋_GB2312" w:hAnsi="仿宋_GB2312" w:eastAsia="仿宋_GB2312" w:cs="仿宋_GB2312"/>
          <w:b w:val="0"/>
          <w:bCs w:val="0"/>
          <w:spacing w:val="-4"/>
          <w:sz w:val="32"/>
          <w:szCs w:val="32"/>
        </w:rPr>
        <w:t>。</w:t>
      </w:r>
    </w:p>
    <w:p w14:paraId="283F387F">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Style w:val="12"/>
          <w:rFonts w:hint="eastAsia" w:ascii="仿宋_GB2312" w:hAnsi="仿宋_GB2312" w:eastAsia="仿宋_GB2312" w:cs="仿宋_GB2312"/>
          <w:b w:val="0"/>
          <w:spacing w:val="-4"/>
          <w:sz w:val="32"/>
          <w:szCs w:val="32"/>
        </w:rPr>
      </w:pPr>
      <w:r>
        <w:rPr>
          <w:rStyle w:val="12"/>
          <w:rFonts w:hint="eastAsia" w:ascii="仿宋_GB2312" w:hAnsi="仿宋_GB2312" w:eastAsia="仿宋_GB2312" w:cs="仿宋_GB2312"/>
          <w:sz w:val="32"/>
          <w:szCs w:val="32"/>
        </w:rPr>
        <w:t>项目实施情况：</w:t>
      </w:r>
      <w:r>
        <w:rPr>
          <w:rStyle w:val="12"/>
          <w:rFonts w:hint="eastAsia" w:ascii="仿宋_GB2312" w:hAnsi="仿宋_GB2312" w:eastAsia="仿宋_GB2312" w:cs="仿宋_GB2312"/>
          <w:sz w:val="32"/>
          <w:szCs w:val="32"/>
          <w:lang w:eastAsia="zh-CN"/>
        </w:rPr>
        <w:t>项目</w:t>
      </w:r>
      <w:r>
        <w:rPr>
          <w:rStyle w:val="12"/>
          <w:rFonts w:hint="eastAsia" w:ascii="仿宋_GB2312" w:hAnsi="仿宋_GB2312" w:eastAsia="仿宋_GB2312" w:cs="仿宋_GB2312"/>
          <w:b w:val="0"/>
          <w:spacing w:val="-4"/>
          <w:sz w:val="32"/>
          <w:szCs w:val="32"/>
        </w:rPr>
        <w:t>资金用于监测</w:t>
      </w:r>
      <w:r>
        <w:rPr>
          <w:rStyle w:val="12"/>
          <w:rFonts w:hint="eastAsia" w:ascii="仿宋_GB2312" w:hAnsi="仿宋_GB2312" w:eastAsia="仿宋_GB2312" w:cs="仿宋_GB2312"/>
          <w:b w:val="0"/>
          <w:spacing w:val="-4"/>
          <w:sz w:val="32"/>
          <w:szCs w:val="32"/>
          <w:lang w:eastAsia="zh-CN"/>
        </w:rPr>
        <w:t>业务</w:t>
      </w:r>
      <w:r>
        <w:rPr>
          <w:rStyle w:val="12"/>
          <w:rFonts w:hint="eastAsia" w:ascii="仿宋_GB2312" w:hAnsi="仿宋_GB2312" w:eastAsia="仿宋_GB2312" w:cs="仿宋_GB2312"/>
          <w:b w:val="0"/>
          <w:spacing w:val="-4"/>
          <w:sz w:val="32"/>
          <w:szCs w:val="32"/>
        </w:rPr>
        <w:t>楼维修维护，以弥补其专项事业费不足</w:t>
      </w:r>
      <w:r>
        <w:rPr>
          <w:rStyle w:val="12"/>
          <w:rFonts w:hint="eastAsia" w:ascii="仿宋_GB2312" w:hAnsi="仿宋_GB2312" w:eastAsia="仿宋_GB2312" w:cs="仿宋_GB2312"/>
          <w:b w:val="0"/>
          <w:spacing w:val="-4"/>
          <w:sz w:val="32"/>
          <w:szCs w:val="32"/>
          <w:lang w:eastAsia="zh-CN"/>
        </w:rPr>
        <w:t>，</w:t>
      </w:r>
      <w:r>
        <w:rPr>
          <w:rStyle w:val="12"/>
          <w:rFonts w:hint="eastAsia" w:ascii="仿宋_GB2312" w:hAnsi="仿宋_GB2312" w:eastAsia="仿宋_GB2312" w:cs="仿宋_GB2312"/>
          <w:b w:val="0"/>
          <w:spacing w:val="-4"/>
          <w:sz w:val="32"/>
          <w:szCs w:val="32"/>
        </w:rPr>
        <w:t>保证国有资产增值保值。</w:t>
      </w:r>
      <w:r>
        <w:rPr>
          <w:rStyle w:val="12"/>
          <w:rFonts w:hint="eastAsia" w:ascii="仿宋_GB2312" w:hAnsi="仿宋_GB2312" w:eastAsia="仿宋_GB2312" w:cs="仿宋_GB2312"/>
          <w:b w:val="0"/>
          <w:bCs w:val="0"/>
          <w:spacing w:val="-4"/>
          <w:sz w:val="32"/>
          <w:szCs w:val="32"/>
          <w:lang w:val="en-US" w:eastAsia="zh-CN"/>
        </w:rPr>
        <w:t>博州无线电管理局</w:t>
      </w:r>
      <w:r>
        <w:rPr>
          <w:rStyle w:val="12"/>
          <w:rFonts w:hint="eastAsia" w:ascii="仿宋_GB2312" w:hAnsi="仿宋_GB2312" w:eastAsia="仿宋_GB2312" w:cs="仿宋_GB2312"/>
          <w:b w:val="0"/>
          <w:spacing w:val="-4"/>
          <w:sz w:val="32"/>
          <w:szCs w:val="32"/>
        </w:rPr>
        <w:t>为重点维稳区域，必须做好维稳安全保障及安防设施建设，保障人身财产安全。</w:t>
      </w:r>
    </w:p>
    <w:p w14:paraId="745C270E">
      <w:pPr>
        <w:spacing w:line="600" w:lineRule="exact"/>
        <w:ind w:firstLine="624" w:firstLineChars="200"/>
        <w:rPr>
          <w:rFonts w:hint="eastAsia" w:ascii="仿宋_GB2312" w:hAnsi="仿宋_GB2312" w:eastAsia="仿宋_GB2312" w:cs="仿宋_GB2312"/>
          <w:sz w:val="32"/>
          <w:szCs w:val="32"/>
        </w:rPr>
      </w:pPr>
      <w:r>
        <w:rPr>
          <w:rStyle w:val="12"/>
          <w:rFonts w:hint="eastAsia" w:ascii="仿宋_GB2312" w:hAnsi="仿宋_GB2312" w:eastAsia="仿宋_GB2312" w:cs="仿宋_GB2312"/>
          <w:bCs w:val="0"/>
          <w:sz w:val="32"/>
          <w:szCs w:val="32"/>
        </w:rPr>
        <w:t>资金投入和使用情况：</w:t>
      </w:r>
      <w:r>
        <w:rPr>
          <w:rStyle w:val="12"/>
          <w:rFonts w:hint="eastAsia" w:ascii="仿宋_GB2312" w:hAnsi="仿宋_GB2312" w:eastAsia="仿宋_GB2312" w:cs="仿宋_GB2312"/>
          <w:b w:val="0"/>
          <w:bCs w:val="0"/>
          <w:spacing w:val="-4"/>
          <w:sz w:val="32"/>
          <w:szCs w:val="32"/>
          <w:lang w:eastAsia="zh-CN"/>
        </w:rPr>
        <w:t>该</w:t>
      </w:r>
      <w:r>
        <w:rPr>
          <w:rStyle w:val="12"/>
          <w:rFonts w:hint="eastAsia" w:ascii="仿宋_GB2312" w:hAnsi="仿宋_GB2312" w:eastAsia="仿宋_GB2312" w:cs="仿宋_GB2312"/>
          <w:b w:val="0"/>
          <w:spacing w:val="-4"/>
          <w:sz w:val="32"/>
          <w:szCs w:val="32"/>
        </w:rPr>
        <w:t>项目资金</w:t>
      </w:r>
      <w:r>
        <w:rPr>
          <w:rStyle w:val="12"/>
          <w:rFonts w:hint="eastAsia" w:ascii="仿宋_GB2312" w:hAnsi="仿宋_GB2312" w:eastAsia="仿宋_GB2312" w:cs="仿宋_GB2312"/>
          <w:b w:val="0"/>
          <w:spacing w:val="-4"/>
          <w:sz w:val="32"/>
          <w:szCs w:val="32"/>
          <w:lang w:eastAsia="zh-CN"/>
        </w:rPr>
        <w:t>投入</w:t>
      </w:r>
      <w:r>
        <w:rPr>
          <w:rStyle w:val="12"/>
          <w:rFonts w:hint="eastAsia" w:ascii="仿宋_GB2312" w:hAnsi="仿宋_GB2312" w:cs="仿宋_GB2312"/>
          <w:b w:val="0"/>
          <w:bCs w:val="0"/>
          <w:spacing w:val="-4"/>
          <w:sz w:val="32"/>
          <w:szCs w:val="32"/>
          <w:lang w:val="en-US" w:eastAsia="zh-CN"/>
        </w:rPr>
        <w:t>5.08</w:t>
      </w:r>
      <w:r>
        <w:rPr>
          <w:rStyle w:val="12"/>
          <w:rFonts w:hint="eastAsia" w:ascii="仿宋_GB2312" w:hAnsi="仿宋_GB2312" w:eastAsia="仿宋_GB2312" w:cs="仿宋_GB2312"/>
          <w:b w:val="0"/>
          <w:spacing w:val="-4"/>
          <w:sz w:val="32"/>
          <w:szCs w:val="32"/>
        </w:rPr>
        <w:t>万元，</w:t>
      </w:r>
      <w:r>
        <w:rPr>
          <w:rStyle w:val="12"/>
          <w:rFonts w:hint="eastAsia" w:ascii="仿宋_GB2312" w:hAnsi="仿宋_GB2312" w:eastAsia="仿宋_GB2312" w:cs="仿宋_GB2312"/>
          <w:b w:val="0"/>
          <w:spacing w:val="-4"/>
          <w:sz w:val="32"/>
          <w:szCs w:val="32"/>
          <w:lang w:eastAsia="zh-CN"/>
        </w:rPr>
        <w:t>资金来源为其他资金；</w:t>
      </w:r>
      <w:r>
        <w:rPr>
          <w:rStyle w:val="12"/>
          <w:rFonts w:hint="eastAsia" w:ascii="仿宋_GB2312" w:hAnsi="仿宋_GB2312" w:eastAsia="仿宋_GB2312" w:cs="仿宋_GB2312"/>
          <w:b w:val="0"/>
          <w:spacing w:val="-4"/>
          <w:sz w:val="32"/>
          <w:szCs w:val="32"/>
          <w:lang w:val="en-US" w:eastAsia="zh-CN"/>
        </w:rPr>
        <w:t>202</w:t>
      </w:r>
      <w:r>
        <w:rPr>
          <w:rStyle w:val="12"/>
          <w:rFonts w:hint="eastAsia" w:ascii="仿宋_GB2312" w:hAnsi="仿宋_GB2312" w:cs="仿宋_GB2312"/>
          <w:b w:val="0"/>
          <w:spacing w:val="-4"/>
          <w:sz w:val="32"/>
          <w:szCs w:val="32"/>
          <w:lang w:val="en-US" w:eastAsia="zh-CN"/>
        </w:rPr>
        <w:t>4</w:t>
      </w:r>
      <w:r>
        <w:rPr>
          <w:rStyle w:val="12"/>
          <w:rFonts w:hint="eastAsia" w:ascii="仿宋_GB2312" w:hAnsi="仿宋_GB2312" w:eastAsia="仿宋_GB2312" w:cs="仿宋_GB2312"/>
          <w:b w:val="0"/>
          <w:spacing w:val="-4"/>
          <w:sz w:val="32"/>
          <w:szCs w:val="32"/>
          <w:lang w:val="en-US" w:eastAsia="zh-CN"/>
        </w:rPr>
        <w:t>年12月</w:t>
      </w:r>
      <w:r>
        <w:rPr>
          <w:rStyle w:val="12"/>
          <w:rFonts w:hint="eastAsia" w:ascii="仿宋_GB2312" w:hAnsi="仿宋_GB2312" w:cs="仿宋_GB2312"/>
          <w:b w:val="0"/>
          <w:spacing w:val="-4"/>
          <w:sz w:val="32"/>
          <w:szCs w:val="32"/>
          <w:lang w:val="en-US" w:eastAsia="zh-CN"/>
        </w:rPr>
        <w:t>25</w:t>
      </w:r>
      <w:r>
        <w:rPr>
          <w:rStyle w:val="12"/>
          <w:rFonts w:hint="eastAsia" w:ascii="仿宋_GB2312" w:hAnsi="仿宋_GB2312" w:eastAsia="仿宋_GB2312" w:cs="仿宋_GB2312"/>
          <w:b w:val="0"/>
          <w:spacing w:val="-4"/>
          <w:sz w:val="32"/>
          <w:szCs w:val="32"/>
          <w:lang w:val="en-US" w:eastAsia="zh-CN"/>
        </w:rPr>
        <w:t>日前完成预算执行，列支</w:t>
      </w:r>
      <w:r>
        <w:rPr>
          <w:rStyle w:val="12"/>
          <w:rFonts w:hint="eastAsia" w:ascii="仿宋_GB2312" w:hAnsi="仿宋_GB2312" w:eastAsia="仿宋_GB2312" w:cs="仿宋_GB2312"/>
          <w:b w:val="0"/>
          <w:spacing w:val="-4"/>
          <w:sz w:val="32"/>
          <w:szCs w:val="32"/>
          <w:lang w:eastAsia="zh-CN"/>
        </w:rPr>
        <w:t>无线电监测业务楼</w:t>
      </w:r>
      <w:r>
        <w:rPr>
          <w:rStyle w:val="12"/>
          <w:rFonts w:hint="eastAsia" w:ascii="仿宋_GB2312" w:hAnsi="仿宋_GB2312" w:eastAsia="仿宋_GB2312" w:cs="仿宋_GB2312"/>
          <w:b w:val="0"/>
          <w:spacing w:val="-4"/>
          <w:sz w:val="32"/>
          <w:szCs w:val="32"/>
          <w:lang w:val="en-US" w:eastAsia="zh-CN"/>
        </w:rPr>
        <w:t>维修</w:t>
      </w:r>
      <w:r>
        <w:rPr>
          <w:rStyle w:val="12"/>
          <w:rFonts w:hint="eastAsia" w:ascii="仿宋_GB2312" w:hAnsi="仿宋_GB2312" w:eastAsia="仿宋_GB2312" w:cs="仿宋_GB2312"/>
          <w:b w:val="0"/>
          <w:spacing w:val="-4"/>
          <w:sz w:val="32"/>
          <w:szCs w:val="32"/>
        </w:rPr>
        <w:t>维</w:t>
      </w:r>
      <w:r>
        <w:rPr>
          <w:rStyle w:val="12"/>
          <w:rFonts w:hint="eastAsia" w:ascii="仿宋_GB2312" w:hAnsi="仿宋_GB2312" w:eastAsia="仿宋_GB2312" w:cs="仿宋_GB2312"/>
          <w:b w:val="0"/>
          <w:spacing w:val="-4"/>
          <w:sz w:val="32"/>
          <w:szCs w:val="32"/>
          <w:lang w:eastAsia="zh-CN"/>
        </w:rPr>
        <w:t>护</w:t>
      </w:r>
      <w:r>
        <w:rPr>
          <w:rStyle w:val="12"/>
          <w:rFonts w:hint="eastAsia" w:ascii="仿宋_GB2312" w:hAnsi="仿宋_GB2312" w:eastAsia="仿宋_GB2312" w:cs="仿宋_GB2312"/>
          <w:b w:val="0"/>
          <w:spacing w:val="-4"/>
          <w:sz w:val="32"/>
          <w:szCs w:val="32"/>
        </w:rPr>
        <w:t>费</w:t>
      </w:r>
      <w:r>
        <w:rPr>
          <w:rStyle w:val="12"/>
          <w:rFonts w:hint="eastAsia" w:ascii="仿宋_GB2312" w:hAnsi="仿宋_GB2312" w:cs="仿宋_GB2312"/>
          <w:b w:val="0"/>
          <w:spacing w:val="-4"/>
          <w:sz w:val="32"/>
          <w:szCs w:val="32"/>
          <w:lang w:val="en-US" w:eastAsia="zh-CN"/>
        </w:rPr>
        <w:t>5.08</w:t>
      </w:r>
      <w:r>
        <w:rPr>
          <w:rStyle w:val="12"/>
          <w:rFonts w:hint="eastAsia" w:ascii="仿宋_GB2312" w:hAnsi="仿宋_GB2312" w:eastAsia="仿宋_GB2312" w:cs="仿宋_GB2312"/>
          <w:b w:val="0"/>
          <w:spacing w:val="-4"/>
          <w:sz w:val="32"/>
          <w:szCs w:val="32"/>
          <w:lang w:val="en-US" w:eastAsia="zh-CN"/>
        </w:rPr>
        <w:t>万元</w:t>
      </w:r>
      <w:r>
        <w:rPr>
          <w:rStyle w:val="12"/>
          <w:rFonts w:hint="eastAsia" w:ascii="仿宋_GB2312" w:hAnsi="仿宋_GB2312" w:eastAsia="仿宋_GB2312" w:cs="仿宋_GB2312"/>
          <w:b w:val="0"/>
          <w:spacing w:val="-4"/>
          <w:sz w:val="32"/>
          <w:szCs w:val="32"/>
          <w:lang w:eastAsia="zh-CN"/>
        </w:rPr>
        <w:t>，</w:t>
      </w:r>
      <w:r>
        <w:rPr>
          <w:rStyle w:val="12"/>
          <w:rFonts w:hint="eastAsia" w:ascii="仿宋_GB2312" w:hAnsi="仿宋_GB2312" w:eastAsia="仿宋_GB2312" w:cs="仿宋_GB2312"/>
          <w:b w:val="0"/>
          <w:spacing w:val="-4"/>
          <w:sz w:val="32"/>
          <w:szCs w:val="32"/>
          <w:lang w:val="en-US" w:eastAsia="zh-CN"/>
        </w:rPr>
        <w:t>预算完成率</w:t>
      </w:r>
      <w:r>
        <w:rPr>
          <w:rStyle w:val="12"/>
          <w:rFonts w:hint="eastAsia" w:ascii="仿宋_GB2312" w:hAnsi="仿宋_GB2312" w:eastAsia="仿宋_GB2312" w:cs="仿宋_GB2312"/>
          <w:b w:val="0"/>
          <w:bCs w:val="0"/>
          <w:spacing w:val="-4"/>
          <w:sz w:val="32"/>
          <w:szCs w:val="32"/>
          <w:lang w:val="en-US" w:eastAsia="zh-CN"/>
        </w:rPr>
        <w:t>100</w:t>
      </w:r>
      <w:r>
        <w:rPr>
          <w:rStyle w:val="12"/>
          <w:rFonts w:hint="eastAsia" w:ascii="仿宋_GB2312" w:hAnsi="仿宋_GB2312" w:eastAsia="仿宋_GB2312" w:cs="仿宋_GB2312"/>
          <w:b w:val="0"/>
          <w:spacing w:val="-4"/>
          <w:sz w:val="32"/>
          <w:szCs w:val="32"/>
          <w:lang w:val="en-US" w:eastAsia="zh-CN"/>
        </w:rPr>
        <w:t>%。</w:t>
      </w:r>
    </w:p>
    <w:p w14:paraId="5F609DA1">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（二）项目绩效目标。</w:t>
      </w:r>
    </w:p>
    <w:p w14:paraId="4366CBED">
      <w:pPr>
        <w:spacing w:line="600" w:lineRule="exact"/>
        <w:ind w:firstLine="624" w:firstLineChars="200"/>
        <w:rPr>
          <w:rFonts w:hint="eastAsia" w:ascii="仿宋_GB2312" w:hAnsi="仿宋_GB2312" w:eastAsia="仿宋_GB2312" w:cs="仿宋_GB2312"/>
          <w:sz w:val="32"/>
          <w:szCs w:val="32"/>
        </w:rPr>
      </w:pPr>
      <w:r>
        <w:rPr>
          <w:rStyle w:val="12"/>
          <w:rFonts w:hint="eastAsia" w:ascii="仿宋_GB2312" w:hAnsi="仿宋_GB2312" w:eastAsia="仿宋_GB2312" w:cs="仿宋_GB2312"/>
          <w:bCs w:val="0"/>
          <w:sz w:val="32"/>
          <w:szCs w:val="32"/>
        </w:rPr>
        <w:t>1.项目绩效总目标。</w:t>
      </w:r>
    </w:p>
    <w:p w14:paraId="169F7699">
      <w:pPr>
        <w:spacing w:line="60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围绕“管频谱资源、管无线电台（站）、管空中电波秩序，服务经济社会发展、服务国防建设、服务党政机关，突出做好重点无线电安全保障工作”的宗旨，为稳步推进无线电设备设施运行维护、重大活动无线电安全保障、航空及铁路无线电频率保护以及无线电干扰查处、无线电频率协调、考试保障等各项无线电专项监管工作的开展，为使得</w:t>
      </w:r>
      <w:r>
        <w:rPr>
          <w:rFonts w:hint="eastAsia" w:ascii="仿宋_GB2312" w:hAnsi="仿宋_GB2312" w:eastAsia="仿宋_GB2312" w:cs="仿宋_GB2312"/>
          <w:sz w:val="32"/>
          <w:szCs w:val="32"/>
          <w:lang w:eastAsia="zh-CN"/>
        </w:rPr>
        <w:t>博</w:t>
      </w:r>
      <w:r>
        <w:rPr>
          <w:rFonts w:hint="eastAsia" w:ascii="仿宋_GB2312" w:hAnsi="仿宋_GB2312" w:eastAsia="仿宋_GB2312" w:cs="仿宋_GB2312"/>
          <w:sz w:val="32"/>
          <w:szCs w:val="32"/>
        </w:rPr>
        <w:t>州无线电控制中心更好发挥功能作用，更好服务于无线电监</w:t>
      </w:r>
      <w:r>
        <w:rPr>
          <w:rFonts w:hint="eastAsia" w:ascii="仿宋_GB2312" w:hAnsi="仿宋_GB2312" w:cs="仿宋_GB2312"/>
          <w:sz w:val="32"/>
          <w:szCs w:val="32"/>
          <w:lang w:val="en-US" w:eastAsia="zh-CN"/>
        </w:rPr>
        <w:t>督</w:t>
      </w:r>
      <w:r>
        <w:rPr>
          <w:rFonts w:hint="eastAsia" w:ascii="仿宋_GB2312" w:hAnsi="仿宋_GB2312" w:eastAsia="仿宋_GB2312" w:cs="仿宋_GB2312"/>
          <w:sz w:val="32"/>
          <w:szCs w:val="32"/>
        </w:rPr>
        <w:t>检测工作，需要对其基础设施如门窗、暖气管道、暖气包面、墙面等老旧部位进行维修维护</w:t>
      </w:r>
      <w:r>
        <w:rPr>
          <w:rFonts w:hint="eastAsia" w:ascii="仿宋_GB2312" w:hAnsi="仿宋_GB2312" w:cs="仿宋_GB2312"/>
          <w:sz w:val="32"/>
          <w:szCs w:val="32"/>
          <w:lang w:eastAsia="zh-CN"/>
        </w:rPr>
        <w:t>，</w:t>
      </w:r>
      <w:r>
        <w:rPr>
          <w:rFonts w:hint="eastAsia" w:ascii="仿宋_GB2312" w:hAnsi="仿宋_GB2312" w:eastAsia="仿宋_GB2312" w:cs="仿宋_GB2312"/>
          <w:sz w:val="32"/>
          <w:szCs w:val="32"/>
        </w:rPr>
        <w:t>保障项目质量和效益，助力经济社会发展，维护社会稳定和长治久安。</w:t>
      </w:r>
    </w:p>
    <w:p w14:paraId="43BC3651">
      <w:pPr>
        <w:numPr>
          <w:ilvl w:val="0"/>
          <w:numId w:val="1"/>
        </w:numPr>
        <w:spacing w:line="540" w:lineRule="exact"/>
        <w:ind w:left="693" w:leftChars="0" w:firstLine="0" w:firstLineChars="0"/>
        <w:rPr>
          <w:rStyle w:val="12"/>
          <w:rFonts w:hint="eastAsia" w:ascii="仿宋_GB2312" w:hAnsi="仿宋_GB2312" w:eastAsia="仿宋_GB2312" w:cs="仿宋_GB2312"/>
          <w:bCs w:val="0"/>
          <w:sz w:val="32"/>
          <w:szCs w:val="32"/>
        </w:rPr>
      </w:pPr>
      <w:r>
        <w:rPr>
          <w:rStyle w:val="12"/>
          <w:rFonts w:hint="eastAsia" w:ascii="仿宋_GB2312" w:hAnsi="仿宋_GB2312" w:eastAsia="仿宋_GB2312" w:cs="仿宋_GB2312"/>
          <w:bCs w:val="0"/>
          <w:sz w:val="32"/>
          <w:szCs w:val="32"/>
        </w:rPr>
        <w:t>项目绩效阶段性目标。</w:t>
      </w:r>
    </w:p>
    <w:p w14:paraId="26FA76BA">
      <w:pPr>
        <w:keepNext w:val="0"/>
        <w:keepLines w:val="0"/>
        <w:pageBreakBefore w:val="0"/>
        <w:widowControl/>
        <w:kinsoku/>
        <w:wordWrap/>
        <w:overflowPunct/>
        <w:topLinePunct w:val="0"/>
        <w:autoSpaceDE/>
        <w:autoSpaceDN/>
        <w:bidi w:val="0"/>
        <w:adjustRightInd/>
        <w:snapToGrid/>
        <w:spacing w:after="0" w:line="540" w:lineRule="exact"/>
        <w:ind w:left="0" w:leftChars="0" w:right="0" w:rightChars="0" w:firstLine="624" w:firstLineChars="200"/>
        <w:jc w:val="left"/>
        <w:textAlignment w:val="auto"/>
        <w:outlineLvl w:val="9"/>
        <w:rPr>
          <w:rFonts w:hint="eastAsia" w:ascii="仿宋_GB2312" w:hAnsi="仿宋_GB2312" w:eastAsia="仿宋_GB2312" w:cs="仿宋_GB2312"/>
          <w:sz w:val="32"/>
          <w:szCs w:val="32"/>
          <w:lang w:val="en-US" w:eastAsia="zh-CN"/>
        </w:rPr>
      </w:pPr>
      <w:r>
        <w:rPr>
          <w:rStyle w:val="12"/>
          <w:rFonts w:hint="eastAsia" w:ascii="仿宋_GB2312" w:hAnsi="仿宋_GB2312" w:eastAsia="仿宋_GB2312" w:cs="仿宋_GB2312"/>
          <w:sz w:val="32"/>
          <w:szCs w:val="32"/>
        </w:rPr>
        <w:t>按照202</w:t>
      </w:r>
      <w:r>
        <w:rPr>
          <w:rStyle w:val="12"/>
          <w:rFonts w:hint="eastAsia" w:ascii="仿宋_GB2312" w:hAnsi="仿宋_GB2312" w:cs="仿宋_GB2312"/>
          <w:sz w:val="32"/>
          <w:szCs w:val="32"/>
          <w:lang w:val="en-US" w:eastAsia="zh-CN"/>
        </w:rPr>
        <w:t>4</w:t>
      </w:r>
      <w:r>
        <w:rPr>
          <w:rStyle w:val="12"/>
          <w:rFonts w:hint="eastAsia" w:ascii="仿宋_GB2312" w:hAnsi="仿宋_GB2312" w:eastAsia="仿宋_GB2312" w:cs="仿宋_GB2312"/>
          <w:sz w:val="32"/>
          <w:szCs w:val="32"/>
        </w:rPr>
        <w:t>年度工作计划，逐月逐季开展下述工作：</w:t>
      </w:r>
      <w:r>
        <w:rPr>
          <w:rStyle w:val="12"/>
          <w:rFonts w:hint="eastAsia" w:ascii="仿宋_GB2312" w:hAnsi="仿宋_GB2312" w:eastAsia="仿宋_GB2312" w:cs="仿宋_GB2312"/>
          <w:b w:val="0"/>
          <w:spacing w:val="-4"/>
          <w:sz w:val="32"/>
          <w:szCs w:val="32"/>
        </w:rPr>
        <w:t>一二季度，</w:t>
      </w:r>
      <w:r>
        <w:rPr>
          <w:rStyle w:val="12"/>
          <w:rFonts w:hint="eastAsia" w:ascii="仿宋_GB2312" w:hAnsi="仿宋_GB2312" w:eastAsia="仿宋_GB2312" w:cs="仿宋_GB2312"/>
          <w:b w:val="0"/>
          <w:spacing w:val="-4"/>
          <w:sz w:val="32"/>
          <w:szCs w:val="32"/>
          <w:lang w:eastAsia="zh-CN"/>
        </w:rPr>
        <w:t>对监测业务楼基础及附属设施全面检查，形成维修报告</w:t>
      </w:r>
      <w:r>
        <w:rPr>
          <w:rStyle w:val="12"/>
          <w:rFonts w:hint="eastAsia" w:ascii="仿宋_GB2312" w:hAnsi="仿宋_GB2312" w:eastAsia="仿宋_GB2312" w:cs="仿宋_GB2312"/>
          <w:b w:val="0"/>
          <w:spacing w:val="-4"/>
          <w:sz w:val="32"/>
          <w:szCs w:val="32"/>
        </w:rPr>
        <w:t>；三</w:t>
      </w:r>
      <w:r>
        <w:rPr>
          <w:rStyle w:val="12"/>
          <w:rFonts w:hint="eastAsia" w:ascii="仿宋_GB2312" w:hAnsi="仿宋_GB2312" w:eastAsia="仿宋_GB2312" w:cs="仿宋_GB2312"/>
          <w:b w:val="0"/>
          <w:spacing w:val="-4"/>
          <w:sz w:val="32"/>
          <w:szCs w:val="32"/>
          <w:lang w:eastAsia="zh-CN"/>
        </w:rPr>
        <w:t>四</w:t>
      </w:r>
      <w:r>
        <w:rPr>
          <w:rStyle w:val="12"/>
          <w:rFonts w:hint="eastAsia" w:ascii="仿宋_GB2312" w:hAnsi="仿宋_GB2312" w:eastAsia="仿宋_GB2312" w:cs="仿宋_GB2312"/>
          <w:b w:val="0"/>
          <w:spacing w:val="-4"/>
          <w:sz w:val="32"/>
          <w:szCs w:val="32"/>
        </w:rPr>
        <w:t>季度，</w:t>
      </w:r>
      <w:r>
        <w:rPr>
          <w:rStyle w:val="12"/>
          <w:rFonts w:hint="eastAsia" w:ascii="仿宋_GB2312" w:hAnsi="仿宋_GB2312" w:eastAsia="仿宋_GB2312" w:cs="仿宋_GB2312"/>
          <w:b w:val="0"/>
          <w:spacing w:val="-4"/>
          <w:sz w:val="32"/>
          <w:szCs w:val="32"/>
          <w:lang w:eastAsia="zh-CN"/>
        </w:rPr>
        <w:t>根据维修报告，实施修缮，完成预算执行</w:t>
      </w:r>
      <w:r>
        <w:rPr>
          <w:rStyle w:val="12"/>
          <w:rFonts w:hint="eastAsia" w:ascii="仿宋_GB2312" w:hAnsi="仿宋_GB2312" w:eastAsia="仿宋_GB2312" w:cs="仿宋_GB2312"/>
          <w:b w:val="0"/>
          <w:spacing w:val="-4"/>
          <w:sz w:val="32"/>
          <w:szCs w:val="32"/>
        </w:rPr>
        <w:t>。</w:t>
      </w:r>
    </w:p>
    <w:p w14:paraId="5104B227">
      <w:pPr>
        <w:spacing w:line="600" w:lineRule="exact"/>
        <w:ind w:firstLine="600" w:firstLineChars="200"/>
        <w:rPr>
          <w:rFonts w:ascii="黑体" w:hAnsi="黑体" w:eastAsia="黑体"/>
        </w:rPr>
      </w:pPr>
      <w:r>
        <w:rPr>
          <w:rFonts w:hint="eastAsia" w:ascii="黑体" w:hAnsi="黑体" w:eastAsia="黑体"/>
        </w:rPr>
        <w:t>二、绩效评价工作开展情况</w:t>
      </w:r>
    </w:p>
    <w:p w14:paraId="6BEFBFE9">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14:paraId="1527EA87">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14:paraId="054ECDC0">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3425A18C">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经济效益指标，力求全方位反映项目的绩效状况。同时，对于每个指标的评价标准和数据来源均进行了明确说明，确保评价结果的客观性和可追溯性。</w:t>
      </w:r>
    </w:p>
    <w:p w14:paraId="281A9209">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56790DA4">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0243511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14:paraId="112F5F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14:paraId="12593A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通过对项目预算执行情况及各项绩效目标达成程度的系统性分析，全面、客观地评估项目在预定周期内的实施效果，包括经济效益指标，为项目后续的改进与优化提供科学依据。</w:t>
      </w:r>
    </w:p>
    <w:p w14:paraId="048A45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14:paraId="378189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284D44A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14:paraId="4BA74A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4DAFC24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14:paraId="352433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732A86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14:paraId="14A0EFC0">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w:t>
      </w:r>
      <w:r>
        <w:rPr>
          <w:rFonts w:hint="default" w:ascii="Times New Roman" w:hAnsi="Times New Roman" w:eastAsia="仿宋_GB2312" w:cs="Times New Roman"/>
          <w:sz w:val="32"/>
          <w:szCs w:val="32"/>
          <w:highlight w:val="none"/>
          <w:lang w:val="en-US" w:eastAsia="zh-CN"/>
        </w:rPr>
        <w:t>程监控与质量把控，形成项目绩效持续改进的良性循环，不断提升项目整体绩效水平，实现项目长期稳定发展的目标。</w:t>
      </w:r>
    </w:p>
    <w:p w14:paraId="1E7B6A2E">
      <w:pPr>
        <w:spacing w:line="560" w:lineRule="exact"/>
        <w:ind w:firstLine="640" w:firstLineChars="200"/>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本项目预算绩效评价报告的编制以提升项目绩效为核心，旨在通过科学、严谨的评价工作，为项目管理与决策提供全方位、深层次的支持</w:t>
      </w:r>
      <w:r>
        <w:rPr>
          <w:rFonts w:hint="default" w:ascii="Times New Roman" w:hAnsi="Times New Roman" w:eastAsia="仿宋_GB2312" w:cs="Times New Roman"/>
          <w:sz w:val="32"/>
          <w:szCs w:val="32"/>
          <w:highlight w:val="none"/>
        </w:rPr>
        <w:t>，推动项目在预算约束下实现高质量、可持续发展，充分发挥财政资金的经济效益与社会效益。</w:t>
      </w:r>
    </w:p>
    <w:p w14:paraId="77BE218E">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绩效评价的对象</w:t>
      </w:r>
    </w:p>
    <w:p w14:paraId="5F3F8A47">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rPr>
      </w:pPr>
      <w:r>
        <w:rPr>
          <w:rFonts w:hint="default" w:ascii="Times New Roman" w:hAnsi="Times New Roman" w:eastAsia="仿宋_GB2312" w:cs="Times New Roman"/>
          <w:b w:val="0"/>
          <w:bCs w:val="0"/>
          <w:highlight w:val="none"/>
        </w:rPr>
        <w:t>本项目预算绩效评价报告的评价对象是业务档案室升级改造项目及其预算执行情况。该项目由塔城地区无线电管理局负责实施，旨在</w:t>
      </w:r>
      <w:r>
        <w:rPr>
          <w:rFonts w:hint="eastAsia" w:ascii="Times New Roman" w:hAnsi="Times New Roman" w:eastAsia="仿宋_GB2312" w:cs="Times New Roman"/>
          <w:b w:val="0"/>
          <w:bCs w:val="0"/>
          <w:color w:val="auto"/>
          <w:sz w:val="32"/>
          <w:szCs w:val="32"/>
          <w:lang w:val="en-US" w:eastAsia="zh-CN"/>
        </w:rPr>
        <w:t>对单位现有</w:t>
      </w:r>
      <w:r>
        <w:rPr>
          <w:rFonts w:hint="default" w:ascii="Times New Roman" w:hAnsi="Times New Roman" w:eastAsia="仿宋_GB2312" w:cs="Times New Roman"/>
          <w:b w:val="0"/>
          <w:bCs w:val="0"/>
          <w:color w:val="auto"/>
          <w:sz w:val="32"/>
          <w:szCs w:val="32"/>
          <w:lang w:val="en-US" w:eastAsia="zh-CN"/>
        </w:rPr>
        <w:t>业务档案室</w:t>
      </w:r>
      <w:r>
        <w:rPr>
          <w:rFonts w:hint="eastAsia" w:ascii="Times New Roman" w:hAnsi="Times New Roman" w:eastAsia="仿宋_GB2312" w:cs="Times New Roman"/>
          <w:b w:val="0"/>
          <w:bCs w:val="0"/>
          <w:color w:val="auto"/>
          <w:sz w:val="32"/>
          <w:szCs w:val="32"/>
          <w:lang w:val="en-US" w:eastAsia="zh-CN"/>
        </w:rPr>
        <w:t>进行</w:t>
      </w:r>
      <w:r>
        <w:rPr>
          <w:rFonts w:hint="default" w:ascii="Times New Roman" w:hAnsi="Times New Roman" w:eastAsia="仿宋_GB2312" w:cs="Times New Roman"/>
          <w:b w:val="0"/>
          <w:bCs w:val="0"/>
          <w:color w:val="auto"/>
          <w:sz w:val="32"/>
          <w:szCs w:val="32"/>
          <w:lang w:val="en-US" w:eastAsia="zh-CN"/>
        </w:rPr>
        <w:t>升级改造</w:t>
      </w:r>
      <w:r>
        <w:rPr>
          <w:rFonts w:hint="default" w:ascii="Times New Roman" w:hAnsi="Times New Roman" w:eastAsia="仿宋_GB2312" w:cs="Times New Roman"/>
          <w:b w:val="0"/>
          <w:bCs w:val="0"/>
          <w:highlight w:val="none"/>
        </w:rPr>
        <w:t>。</w:t>
      </w:r>
      <w:r>
        <w:rPr>
          <w:rFonts w:hint="default" w:ascii="Times New Roman" w:hAnsi="Times New Roman" w:eastAsia="仿宋_GB2312" w:cs="Times New Roman"/>
          <w:b w:val="0"/>
          <w:bCs w:val="0"/>
          <w:color w:val="auto"/>
          <w:highlight w:val="none"/>
        </w:rPr>
        <w:t>项目预算涵盖从</w:t>
      </w:r>
      <w:r>
        <w:rPr>
          <w:rFonts w:hint="default"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default"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w:t>
      </w:r>
      <w:r>
        <w:rPr>
          <w:rFonts w:hint="eastAsia" w:ascii="Times New Roman" w:hAnsi="Times New Roman" w:cs="Times New Roman"/>
          <w:b w:val="0"/>
          <w:bCs w:val="0"/>
          <w:color w:val="auto"/>
          <w:highlight w:val="none"/>
          <w:lang w:val="en-US" w:eastAsia="zh-CN"/>
        </w:rPr>
        <w:t>5.08</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098FE855">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14:paraId="21F08E64">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14:paraId="3228ADD8">
      <w:pPr>
        <w:pStyle w:val="7"/>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1</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项目预算编制与执行：预算编制依据充分参考</w:t>
      </w:r>
      <w:r>
        <w:rPr>
          <w:rFonts w:hint="eastAsia" w:ascii="Times New Roman" w:hAnsi="Times New Roman" w:eastAsia="仿宋_GB2312" w:cs="Times New Roman"/>
          <w:b w:val="0"/>
          <w:bCs w:val="0"/>
          <w:color w:val="auto"/>
          <w:highlight w:val="none"/>
          <w:lang w:val="en-US" w:eastAsia="zh-CN"/>
        </w:rPr>
        <w:t>其他单位</w:t>
      </w:r>
      <w:r>
        <w:rPr>
          <w:rFonts w:hint="default" w:ascii="Times New Roman" w:hAnsi="Times New Roman" w:eastAsia="仿宋_GB2312" w:cs="Times New Roman"/>
          <w:b w:val="0"/>
          <w:bCs w:val="0"/>
          <w:color w:val="auto"/>
          <w:highlight w:val="none"/>
        </w:rPr>
        <w:t>类似业务的费用支出，结合当前市场行情，综合考虑本次升级改造项目在规模、功能需求等方面的复杂程度。对服务供应商的服务费用，依据其提供的详细报价方案，从人工成本、材料采购成本到设备安装调试费用等进行细致预估，制定合理预算。整体预算编制合理且科学，各项费用明细清晰，如密集架采购费用、防盗门安装费用、指纹锁购置费用等均单独列示。在项目执行过程中，预算执行情况总体良好，实际支出与预算偏差控制在极小范围内，保障了项目的顺利推进。</w:t>
      </w:r>
    </w:p>
    <w:p w14:paraId="4487DAB0">
      <w:pPr>
        <w:pStyle w:val="7"/>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2</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资金管理：资金分配严格依照前期制定的项目计划和工作重点进行安排。优先保障关键硬件设施的采购与安装资金，如密集架、防盗门、指纹锁等。资金使用严格遵循单位的财务制度以及与服务供应商签订的项目合同约定。相关费用按照项目实施进度分期支付，每完成一个关键阶段，如密集架安装完成、防盗门安装调试合格、指纹锁验收通过等，均对工作成果进行严格验收，只有验收合格才进行款项支付，确保资金使用与工作质量紧密挂钩。在资金审批流程上，严格遵照本单位内部控制制度，每一笔支出都有详细的记录，从费用申请、审批到支付，各个环节均有明确的责任人，保障资金使用的透明度和合规性，整个项目实施过程中未出现任何资金挪用、浪费等违规现象。</w:t>
      </w:r>
    </w:p>
    <w:p w14:paraId="2FB55088">
      <w:pPr>
        <w:pStyle w:val="7"/>
        <w:widowControl w:val="0"/>
        <w:numPr>
          <w:ilvl w:val="0"/>
          <w:numId w:val="0"/>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3</w:t>
      </w:r>
      <w:r>
        <w:rPr>
          <w:rFonts w:hint="eastAsia"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项目实施进度与产出：项目严格按照既定计划稳步推进，各阶段任务均按时完成。在项目筹备阶段，提前完成政府采购意向公开和计划申报工作，为后续项目开展争取了时间。在服务供应商选定阶段，严格按照规范流程操作，通过公开招标或竞争性磋商等方式，在规定时间内与资质优良、经验丰富的供应商成功签订合同。在项目实施阶段，供应商按时入驻并全面开展升级改造工作。最终全面完成博州监测中心业务楼维修维护项目。改造后的业务楼环境得到极大提升，各项设施运行稳定。经内部验收，业务楼消防设备设施及水电暖基础硬件设施改造工作质量高，完全符合预期标准。供应商出具的项目成果报告内容完整，涵盖了升级改造后的硬件设施详细清单、施工过程记录、质量检测报告等，数据可靠，经单位内部审核，报告质量符合要求，为单位后续业务楼消防设备设施及水电暖基础硬件设施管理工作提供了有力支持。项目在规定时间内完成，提高公共硬件设施的安全系数，以便更好完成无线电管理工作任务</w:t>
      </w:r>
      <w:r>
        <w:rPr>
          <w:rFonts w:hint="eastAsia" w:ascii="Times New Roman" w:hAnsi="Times New Roman"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时效性符合预期。</w:t>
      </w:r>
    </w:p>
    <w:p w14:paraId="23A489A5">
      <w:pPr>
        <w:keepNext w:val="0"/>
        <w:keepLines w:val="0"/>
        <w:widowControl/>
        <w:suppressLineNumbers w:val="0"/>
        <w:ind w:firstLine="640" w:firstLineChars="200"/>
        <w:jc w:val="left"/>
        <w:rPr>
          <w:rFonts w:hint="default" w:ascii="Times New Roman" w:hAnsi="Times New Roman" w:eastAsia="仿宋_GB2312" w:cs="Times New Roman"/>
          <w:b w:val="0"/>
          <w:bCs w:val="0"/>
          <w:color w:val="auto"/>
          <w:kern w:val="28"/>
          <w:sz w:val="32"/>
          <w:szCs w:val="32"/>
          <w:highlight w:val="none"/>
          <w:lang w:val="en-US" w:eastAsia="zh-CN" w:bidi="ar-SA"/>
        </w:rPr>
      </w:pPr>
      <w:r>
        <w:rPr>
          <w:rFonts w:hint="default" w:ascii="Times New Roman" w:hAnsi="Times New Roman" w:eastAsia="仿宋_GB2312" w:cs="Times New Roman"/>
          <w:b w:val="0"/>
          <w:bCs w:val="0"/>
          <w:color w:val="auto"/>
          <w:kern w:val="28"/>
          <w:sz w:val="32"/>
          <w:szCs w:val="32"/>
          <w:highlight w:val="none"/>
          <w:lang w:val="en-US" w:eastAsia="zh-CN" w:bidi="ar-SA"/>
        </w:rPr>
        <w:t>（4）社会、生态等影响：由于本监测中心业务楼维修维护项目主要是行政事业单位内部管理优化工作，对社会和生态环境的直接影响较小。但从间接层面来看，通过提升</w:t>
      </w:r>
      <w:r>
        <w:rPr>
          <w:rFonts w:hint="eastAsia" w:cs="Times New Roman"/>
          <w:b w:val="0"/>
          <w:bCs w:val="0"/>
          <w:color w:val="auto"/>
          <w:kern w:val="28"/>
          <w:sz w:val="32"/>
          <w:szCs w:val="32"/>
          <w:highlight w:val="none"/>
          <w:lang w:val="en-US" w:eastAsia="zh-CN" w:bidi="ar-SA"/>
        </w:rPr>
        <w:t>业务楼</w:t>
      </w:r>
      <w:r>
        <w:rPr>
          <w:rFonts w:hint="default" w:ascii="Times New Roman" w:hAnsi="Times New Roman" w:eastAsia="仿宋_GB2312" w:cs="Times New Roman"/>
          <w:b w:val="0"/>
          <w:bCs w:val="0"/>
          <w:color w:val="auto"/>
          <w:kern w:val="28"/>
          <w:sz w:val="32"/>
          <w:szCs w:val="32"/>
          <w:highlight w:val="none"/>
          <w:lang w:val="en-US" w:eastAsia="zh-CN" w:bidi="ar-SA"/>
        </w:rPr>
        <w:t>管理水平，能够更高效地为单位各项业务提供服务，进而优化单位内部工作流程，提升单位履行公共服务职能的能力，长远视角对社会发展具有积极促进作用。在经济方面，改造后的</w:t>
      </w:r>
      <w:r>
        <w:rPr>
          <w:rFonts w:hint="eastAsia" w:cs="Times New Roman"/>
          <w:b w:val="0"/>
          <w:bCs w:val="0"/>
          <w:color w:val="auto"/>
          <w:kern w:val="28"/>
          <w:sz w:val="32"/>
          <w:szCs w:val="32"/>
          <w:highlight w:val="none"/>
          <w:lang w:val="en-US" w:eastAsia="zh-CN" w:bidi="ar-SA"/>
        </w:rPr>
        <w:t>业务楼</w:t>
      </w:r>
      <w:r>
        <w:rPr>
          <w:rFonts w:hint="default" w:ascii="Times New Roman" w:hAnsi="Times New Roman" w:eastAsia="仿宋_GB2312" w:cs="Times New Roman"/>
          <w:b w:val="0"/>
          <w:bCs w:val="0"/>
          <w:color w:val="auto"/>
          <w:kern w:val="28"/>
          <w:sz w:val="32"/>
          <w:szCs w:val="32"/>
          <w:highlight w:val="none"/>
          <w:lang w:val="en-US" w:eastAsia="zh-CN" w:bidi="ar-SA"/>
        </w:rPr>
        <w:t>提高公共硬件设施的安全系数，以便更好完成无线电管理工作任务，避免了潜在的成本支出，对单位经济管理产生了积极影响。</w:t>
      </w:r>
    </w:p>
    <w:p w14:paraId="1C528434">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14:paraId="6E2D1F72">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14:paraId="72EE1C6E">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14:paraId="22C53AAD">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14:paraId="6C287364">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14:paraId="4EDDF526">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14:paraId="3AE2B63B">
      <w:pPr>
        <w:pStyle w:val="7"/>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14:paraId="55E9E9D8">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14:paraId="13ABA6A7">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14:paraId="362C4DE6">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14:paraId="75846887">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10CC89C1">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（2）确定权重</w:t>
      </w:r>
    </w:p>
    <w:p w14:paraId="1CDCFCE8">
      <w:pPr>
        <w:spacing w:line="560" w:lineRule="exact"/>
        <w:ind w:firstLine="708" w:firstLineChars="200"/>
        <w:rPr>
          <w:rFonts w:hint="default" w:ascii="Times New Roman" w:hAnsi="Times New Roman" w:eastAsia="仿宋_GB2312" w:cs="Times New Roman"/>
          <w:color w:val="auto"/>
          <w:spacing w:val="17"/>
          <w:sz w:val="32"/>
          <w:szCs w:val="32"/>
          <w:lang w:eastAsia="zh-CN"/>
        </w:rPr>
      </w:pPr>
      <w:r>
        <w:rPr>
          <w:rFonts w:hint="default" w:ascii="Times New Roman" w:hAnsi="Times New Roman" w:eastAsia="仿宋_GB2312" w:cs="Times New Roman"/>
          <w:color w:val="auto"/>
          <w:spacing w:val="17"/>
          <w:sz w:val="32"/>
          <w:szCs w:val="32"/>
        </w:rPr>
        <w:t>确定各个指标相对于项目总体绩效的权重分值。在绩效评价指标体系中，</w:t>
      </w:r>
      <w:r>
        <w:rPr>
          <w:rFonts w:hint="eastAsia" w:eastAsia="仿宋_GB2312" w:cs="Times New Roman"/>
          <w:color w:val="auto"/>
          <w:spacing w:val="17"/>
          <w:sz w:val="32"/>
          <w:szCs w:val="32"/>
          <w:lang w:val="en-US" w:eastAsia="zh-CN"/>
        </w:rPr>
        <w:t>项目</w:t>
      </w:r>
      <w:r>
        <w:rPr>
          <w:rFonts w:hint="default" w:ascii="Times New Roman" w:hAnsi="Times New Roman" w:eastAsia="仿宋_GB2312" w:cs="Times New Roman"/>
          <w:color w:val="auto"/>
          <w:spacing w:val="17"/>
          <w:sz w:val="32"/>
          <w:szCs w:val="32"/>
          <w:lang w:eastAsia="zh-CN"/>
        </w:rPr>
        <w:t>决策权重为20分，项目过程权重为20分，项目产出权重为40分，项目效益权重为20分</w:t>
      </w:r>
      <w:r>
        <w:rPr>
          <w:rFonts w:hint="default" w:ascii="Times New Roman" w:hAnsi="Times New Roman" w:eastAsia="仿宋_GB2312" w:cs="Times New Roman"/>
          <w:color w:val="auto"/>
          <w:spacing w:val="17"/>
          <w:sz w:val="32"/>
          <w:szCs w:val="32"/>
        </w:rPr>
        <w:t>。</w:t>
      </w:r>
    </w:p>
    <w:p w14:paraId="67D24DB9">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（3）确定指标标准值</w:t>
      </w:r>
    </w:p>
    <w:p w14:paraId="2831C03F">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指标标准值是绩效评价指标的尺度，既要反映同类项目的先进水平，又要符合项目的实际绩效水平。具体采用计划标准等确定此次绩效评价指标标准值。</w:t>
      </w:r>
    </w:p>
    <w:p w14:paraId="698DE2C5">
      <w:pPr>
        <w:pStyle w:val="7"/>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rPr>
      </w:pPr>
      <w:r>
        <w:rPr>
          <w:rFonts w:hint="default" w:ascii="Times New Roman" w:hAnsi="Times New Roman" w:eastAsia="仿宋_GB2312" w:cs="Times New Roman"/>
          <w:b w:val="0"/>
          <w:bCs w:val="0"/>
          <w:color w:val="000000"/>
          <w:spacing w:val="17"/>
          <w:kern w:val="2"/>
        </w:rPr>
        <w:t>绩效评价总分值100分，根据综合评分结果，90（含）-100分为优、80（含）-90分为良、60（含）-80分为中、60分以下为差。</w:t>
      </w:r>
    </w:p>
    <w:p w14:paraId="25F22A55">
      <w:pPr>
        <w:pStyle w:val="7"/>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rPr>
      </w:pPr>
      <w:r>
        <w:rPr>
          <w:rFonts w:hint="default" w:ascii="Times New Roman" w:hAnsi="Times New Roman" w:eastAsia="仿宋_GB2312" w:cs="Times New Roman"/>
          <w:b w:val="0"/>
          <w:bCs w:val="0"/>
          <w:color w:val="000000"/>
          <w:spacing w:val="17"/>
        </w:rPr>
        <w:t>具体评价指标体系详情见附件1</w:t>
      </w:r>
    </w:p>
    <w:p w14:paraId="490DC8F2">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w:t>
      </w:r>
      <w:r>
        <w:rPr>
          <w:rFonts w:hint="default" w:ascii="Times New Roman" w:hAnsi="Times New Roman" w:eastAsia="仿宋_GB2312" w:cs="Times New Roman"/>
          <w:b w:val="0"/>
          <w:bCs w:val="0"/>
          <w:lang w:val="en-US" w:eastAsia="zh-CN"/>
        </w:rPr>
        <w:t>.</w:t>
      </w:r>
      <w:r>
        <w:rPr>
          <w:rFonts w:hint="default" w:ascii="Times New Roman" w:hAnsi="Times New Roman" w:eastAsia="仿宋_GB2312" w:cs="Times New Roman"/>
          <w:b w:val="0"/>
          <w:bCs w:val="0"/>
        </w:rPr>
        <w:t>绩效评价方法</w:t>
      </w:r>
    </w:p>
    <w:p w14:paraId="62C4A83E">
      <w:pPr>
        <w:spacing w:line="560" w:lineRule="exact"/>
        <w:ind w:firstLine="708" w:firstLineChars="200"/>
        <w:rPr>
          <w:rFonts w:hint="default" w:ascii="Times New Roman" w:hAnsi="Times New Roman" w:eastAsia="仿宋_GB2312" w:cs="Times New Roman"/>
          <w:color w:val="auto"/>
          <w:spacing w:val="17"/>
          <w:sz w:val="32"/>
          <w:szCs w:val="32"/>
        </w:rPr>
      </w:pPr>
      <w:r>
        <w:rPr>
          <w:rFonts w:hint="default" w:ascii="Times New Roman" w:hAnsi="Times New Roman" w:eastAsia="仿宋_GB2312" w:cs="Times New Roman"/>
          <w:color w:val="auto"/>
          <w:spacing w:val="17"/>
          <w:sz w:val="32"/>
          <w:szCs w:val="32"/>
        </w:rPr>
        <w:t>绩效评价从项目决策、项目过程、项目产出、项目效益四个维度进行评价。评价对象为项目目标实施情况，  评价核心为资金的支出完成情况和项目的产出效益。</w:t>
      </w:r>
    </w:p>
    <w:p w14:paraId="4B7CE29F">
      <w:pPr>
        <w:spacing w:line="560" w:lineRule="exact"/>
        <w:ind w:firstLine="708" w:firstLineChars="20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pacing w:val="17"/>
          <w:sz w:val="32"/>
          <w:szCs w:val="32"/>
          <w:highlight w:val="none"/>
        </w:rPr>
        <w:t>本次评价指标中，既有定性指标又有定量指标，各类指标因考核内容不同和客观标准不同存在较大差异，因此核定具体指标时采用了不同方法，具体评价方法如下：</w:t>
      </w:r>
      <w:r>
        <w:rPr>
          <w:rFonts w:hint="default" w:ascii="Times New Roman" w:hAnsi="Times New Roman" w:eastAsia="仿宋_GB2312" w:cs="Times New Roman"/>
          <w:color w:val="auto"/>
          <w:sz w:val="32"/>
          <w:szCs w:val="32"/>
          <w:highlight w:val="none"/>
          <w:lang w:val="en-US" w:eastAsia="zh-CN"/>
        </w:rPr>
        <w:t>因该项</w:t>
      </w:r>
      <w:r>
        <w:rPr>
          <w:rFonts w:hint="default" w:ascii="Times New Roman" w:hAnsi="Times New Roman" w:eastAsia="仿宋_GB2312" w:cs="Times New Roman"/>
          <w:color w:val="auto"/>
          <w:sz w:val="32"/>
          <w:szCs w:val="32"/>
          <w:lang w:val="en-US" w:eastAsia="zh-CN"/>
        </w:rPr>
        <w:t>目的性质和实施特点，该项目绩效评估方法</w:t>
      </w:r>
      <w:r>
        <w:rPr>
          <w:rFonts w:hint="default" w:ascii="Times New Roman" w:hAnsi="Times New Roman" w:eastAsia="仿宋_GB2312" w:cs="Times New Roman"/>
          <w:color w:val="auto"/>
          <w:sz w:val="32"/>
          <w:szCs w:val="32"/>
        </w:rPr>
        <w:t>采用成本效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分析法，</w:t>
      </w:r>
      <w:r>
        <w:rPr>
          <w:rFonts w:hint="default" w:ascii="Times New Roman" w:hAnsi="Times New Roman" w:eastAsia="仿宋_GB2312" w:cs="Times New Roman"/>
          <w:color w:val="auto"/>
          <w:kern w:val="0"/>
          <w:sz w:val="32"/>
          <w:szCs w:val="32"/>
          <w:u w:val="none" w:color="auto"/>
          <w:lang w:val="en-US" w:eastAsia="zh-CN"/>
        </w:rPr>
        <w:t>通过将项目的预算支出安排与预期效益进行对比，寻求以最小成本获取最大收益的投入方式。</w:t>
      </w: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分析法主要是分析效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的单位成本，即为获得一定的效用而</w:t>
      </w:r>
      <w:r>
        <w:rPr>
          <w:rFonts w:hint="eastAsia" w:eastAsia="仿宋_GB2312" w:cs="Times New Roman"/>
          <w:color w:val="auto"/>
          <w:sz w:val="32"/>
          <w:szCs w:val="32"/>
          <w:lang w:val="en-US" w:eastAsia="zh-CN"/>
        </w:rPr>
        <w:t>必须</w:t>
      </w:r>
      <w:r>
        <w:rPr>
          <w:rFonts w:hint="default" w:ascii="Times New Roman" w:hAnsi="Times New Roman" w:eastAsia="仿宋_GB2312" w:cs="Times New Roman"/>
          <w:color w:val="auto"/>
          <w:sz w:val="32"/>
          <w:szCs w:val="32"/>
        </w:rPr>
        <w:t>耗费的成本，以及节约的成本，即分析净效益。若有功能或效益相同的多项方案，自然应选用单位成本最低者。</w:t>
      </w:r>
    </w:p>
    <w:p w14:paraId="23DE6E16">
      <w:pPr>
        <w:pStyle w:val="1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分析有三种情况：</w:t>
      </w:r>
    </w:p>
    <w:p w14:paraId="67E3E8D5">
      <w:pPr>
        <w:pStyle w:val="1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（1）当成本相同时，应选择效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高的方案；</w:t>
      </w:r>
    </w:p>
    <w:p w14:paraId="5F5C3CA4">
      <w:pPr>
        <w:pStyle w:val="1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（2）当效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相同时，应选择成本低的方案；</w:t>
      </w:r>
    </w:p>
    <w:p w14:paraId="7BC6D20B">
      <w:pPr>
        <w:pStyle w:val="15"/>
        <w:wordWrap/>
        <w:adjustRightInd/>
        <w:spacing w:line="560" w:lineRule="exact"/>
        <w:ind w:left="425" w:firstLine="0" w:firstLineChars="0"/>
        <w:rPr>
          <w:rFonts w:hint="default"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（3）当效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提高而成本加大时，应选择增效的单位追加成本低的方案。</w:t>
      </w:r>
    </w:p>
    <w:p w14:paraId="03E597E0">
      <w:pPr>
        <w:pStyle w:val="15"/>
        <w:wordWrap/>
        <w:adjustRightInd/>
        <w:spacing w:line="560" w:lineRule="exact"/>
        <w:ind w:left="425" w:firstLine="0" w:firstLineChars="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z w:val="32"/>
          <w:szCs w:val="32"/>
          <w:lang w:val="en-US" w:eastAsia="zh-CN"/>
        </w:rPr>
        <w:t xml:space="preserve">     该项目</w:t>
      </w:r>
      <w:r>
        <w:rPr>
          <w:rFonts w:hint="default" w:ascii="Times New Roman" w:hAnsi="Times New Roman" w:eastAsia="仿宋_GB2312" w:cs="Times New Roman"/>
          <w:color w:val="auto"/>
          <w:sz w:val="32"/>
          <w:szCs w:val="32"/>
        </w:rPr>
        <w:t>成本效</w:t>
      </w:r>
      <w:r>
        <w:rPr>
          <w:rFonts w:hint="default" w:ascii="Times New Roman" w:hAnsi="Times New Roman" w:eastAsia="仿宋_GB2312" w:cs="Times New Roman"/>
          <w:color w:val="auto"/>
          <w:sz w:val="32"/>
          <w:szCs w:val="32"/>
          <w:lang w:val="en-US" w:eastAsia="zh-CN"/>
        </w:rPr>
        <w:t>益</w:t>
      </w:r>
      <w:r>
        <w:rPr>
          <w:rFonts w:hint="default" w:ascii="Times New Roman" w:hAnsi="Times New Roman" w:eastAsia="仿宋_GB2312" w:cs="Times New Roman"/>
          <w:color w:val="auto"/>
          <w:sz w:val="32"/>
          <w:szCs w:val="32"/>
        </w:rPr>
        <w:t>分析</w:t>
      </w:r>
      <w:r>
        <w:rPr>
          <w:rFonts w:hint="default" w:ascii="Times New Roman" w:hAnsi="Times New Roman" w:eastAsia="仿宋_GB2312" w:cs="Times New Roman"/>
          <w:color w:val="auto"/>
          <w:sz w:val="32"/>
          <w:szCs w:val="32"/>
          <w:lang w:val="en-US" w:eastAsia="zh-CN"/>
        </w:rPr>
        <w:t>选用第二种方案。</w:t>
      </w:r>
    </w:p>
    <w:p w14:paraId="254ED137">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4</w:t>
      </w:r>
      <w:r>
        <w:rPr>
          <w:rFonts w:hint="default" w:ascii="Times New Roman" w:hAnsi="Times New Roman" w:eastAsia="仿宋_GB2312" w:cs="Times New Roman"/>
          <w:b/>
          <w:bCs/>
          <w:sz w:val="32"/>
          <w:szCs w:val="32"/>
          <w:highlight w:val="none"/>
          <w:lang w:val="en-US" w:eastAsia="zh-CN"/>
        </w:rPr>
        <w:t>.</w:t>
      </w:r>
      <w:r>
        <w:rPr>
          <w:rFonts w:hint="default" w:ascii="Times New Roman" w:hAnsi="Times New Roman" w:eastAsia="仿宋_GB2312" w:cs="Times New Roman"/>
          <w:b w:val="0"/>
          <w:bCs w:val="0"/>
          <w:highlight w:val="none"/>
        </w:rPr>
        <w:t>评价标准</w:t>
      </w:r>
    </w:p>
    <w:p w14:paraId="31300164">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rPr>
        <w:t>标准。</w:t>
      </w:r>
    </w:p>
    <w:p w14:paraId="5E6566A5">
      <w:pPr>
        <w:pStyle w:val="7"/>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14:paraId="4CF66B8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前期准备与规划</w:t>
      </w:r>
    </w:p>
    <w:p w14:paraId="3F1C21C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64741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14:paraId="5742750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14:paraId="4F7FFCF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14:paraId="7C3203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563AC72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14:paraId="1DA6A25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5FAE9D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14:paraId="34B2E1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496BAE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14:paraId="0E44F0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48F9871A">
      <w:pPr>
        <w:spacing w:line="540" w:lineRule="exact"/>
        <w:ind w:firstLine="640"/>
        <w:rPr>
          <w:rStyle w:val="12"/>
          <w:rFonts w:ascii="黑体" w:hAnsi="黑体" w:eastAsia="黑体"/>
          <w:b/>
        </w:rPr>
      </w:pPr>
      <w:r>
        <w:rPr>
          <w:rStyle w:val="12"/>
          <w:rFonts w:hint="eastAsia" w:ascii="黑体" w:hAnsi="黑体" w:eastAsia="黑体"/>
        </w:rPr>
        <w:t>三、综合评价情况及评价结论（附相关评分表）</w:t>
      </w:r>
    </w:p>
    <w:p w14:paraId="2C78B0E2">
      <w:pPr>
        <w:pStyle w:val="7"/>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14:paraId="634CA20F">
      <w:pPr>
        <w:spacing w:line="60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ascii="仿宋_GB2312" w:hAnsi="仿宋_GB2312" w:eastAsia="仿宋_GB2312" w:cs="仿宋_GB2312"/>
          <w:b w:val="0"/>
          <w:bCs w:val="0"/>
          <w:sz w:val="32"/>
          <w:szCs w:val="32"/>
        </w:rPr>
        <w:t>监测中心业务楼维修维护</w:t>
      </w:r>
      <w:r>
        <w:rPr>
          <w:rStyle w:val="12"/>
          <w:rFonts w:hint="eastAsia" w:ascii="仿宋_GB2312" w:hAnsi="仿宋_GB2312" w:eastAsia="仿宋_GB2312" w:cs="仿宋_GB2312"/>
          <w:b w:val="0"/>
          <w:bCs w:val="0"/>
          <w:spacing w:val="-4"/>
          <w:sz w:val="32"/>
          <w:szCs w:val="32"/>
          <w:lang w:val="en-US" w:eastAsia="zh-CN"/>
        </w:rPr>
        <w:t>项目</w:t>
      </w:r>
      <w:r>
        <w:rPr>
          <w:rFonts w:hint="default" w:ascii="Times New Roman" w:hAnsi="Times New Roman" w:eastAsia="仿宋_GB2312" w:cs="Times New Roman"/>
          <w:sz w:val="32"/>
          <w:szCs w:val="32"/>
          <w:highlight w:val="none"/>
        </w:rPr>
        <w:t>在</w:t>
      </w:r>
      <w:r>
        <w:rPr>
          <w:rFonts w:hint="eastAsia" w:ascii="仿宋_GB2312" w:hAnsi="仿宋_GB2312" w:eastAsia="仿宋_GB2312" w:cs="仿宋_GB2312"/>
          <w:b w:val="0"/>
          <w:bCs w:val="0"/>
          <w:sz w:val="32"/>
          <w:szCs w:val="32"/>
        </w:rPr>
        <w:t>业务楼</w:t>
      </w:r>
      <w:r>
        <w:rPr>
          <w:rFonts w:hint="default" w:ascii="Times New Roman" w:hAnsi="Times New Roman" w:eastAsia="仿宋_GB2312" w:cs="Times New Roman"/>
          <w:sz w:val="32"/>
          <w:szCs w:val="32"/>
          <w:highlight w:val="none"/>
        </w:rPr>
        <w:t>消防设备设施及水电暖基础硬件设施安全性方面表现出色，达到了预期的标准与要求</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极大地提升了</w:t>
      </w:r>
      <w:r>
        <w:rPr>
          <w:rFonts w:hint="eastAsia" w:ascii="仿宋_GB2312" w:hAnsi="仿宋_GB2312" w:eastAsia="仿宋_GB2312" w:cs="仿宋_GB2312"/>
          <w:b w:val="0"/>
          <w:bCs w:val="0"/>
          <w:sz w:val="32"/>
          <w:szCs w:val="32"/>
        </w:rPr>
        <w:t>业务楼</w:t>
      </w:r>
      <w:r>
        <w:rPr>
          <w:rFonts w:hint="default" w:ascii="Times New Roman" w:hAnsi="Times New Roman" w:eastAsia="仿宋_GB2312" w:cs="Times New Roman"/>
          <w:sz w:val="32"/>
          <w:szCs w:val="32"/>
          <w:highlight w:val="none"/>
        </w:rPr>
        <w:t>的安全防护等级，提高公共硬件设施的安全系数</w:t>
      </w:r>
      <w:r>
        <w:rPr>
          <w:rFonts w:hint="eastAsia" w:cs="Times New Roman"/>
          <w:sz w:val="32"/>
          <w:szCs w:val="32"/>
          <w:highlight w:val="none"/>
          <w:lang w:eastAsia="zh-CN"/>
        </w:rPr>
        <w:t>，</w:t>
      </w:r>
      <w:r>
        <w:rPr>
          <w:rFonts w:hint="eastAsia" w:ascii="仿宋_GB2312" w:hAnsi="仿宋_GB2312" w:eastAsia="仿宋_GB2312" w:cs="仿宋_GB2312"/>
          <w:sz w:val="32"/>
          <w:szCs w:val="32"/>
        </w:rPr>
        <w:t>防止各类安全生产事故的发生</w:t>
      </w:r>
      <w:r>
        <w:rPr>
          <w:rFonts w:hint="eastAsia" w:ascii="仿宋_GB2312" w:hAnsi="仿宋_GB2312" w:cs="仿宋_GB2312"/>
          <w:sz w:val="32"/>
          <w:szCs w:val="32"/>
          <w:lang w:eastAsia="zh-CN"/>
        </w:rPr>
        <w:t>，</w:t>
      </w:r>
      <w:r>
        <w:rPr>
          <w:rFonts w:hint="default" w:ascii="Times New Roman" w:hAnsi="Times New Roman" w:eastAsia="仿宋_GB2312" w:cs="Times New Roman"/>
          <w:sz w:val="32"/>
          <w:szCs w:val="32"/>
          <w:highlight w:val="none"/>
        </w:rPr>
        <w:t>为我局业务工作的开展提供了有力的</w:t>
      </w:r>
      <w:r>
        <w:rPr>
          <w:rFonts w:hint="eastAsia" w:cs="Times New Roman"/>
          <w:sz w:val="32"/>
          <w:szCs w:val="32"/>
          <w:highlight w:val="none"/>
          <w:lang w:eastAsia="zh-CN"/>
        </w:rPr>
        <w:t>安全保障</w:t>
      </w:r>
      <w:r>
        <w:rPr>
          <w:rFonts w:hint="default" w:ascii="Times New Roman" w:hAnsi="Times New Roman" w:eastAsia="仿宋_GB2312" w:cs="Times New Roman"/>
          <w:sz w:val="32"/>
          <w:szCs w:val="32"/>
          <w:highlight w:val="none"/>
        </w:rPr>
        <w:t>，推动了整体工作效能的提升。</w:t>
      </w:r>
    </w:p>
    <w:p w14:paraId="61E274D5">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cs="Times New Roman"/>
          <w:sz w:val="32"/>
          <w:szCs w:val="32"/>
          <w:highlight w:val="none"/>
          <w:lang w:val="en-US" w:eastAsia="zh-CN"/>
        </w:rPr>
        <w:t>博州</w:t>
      </w:r>
      <w:r>
        <w:rPr>
          <w:rFonts w:hint="eastAsia" w:eastAsia="仿宋_GB2312" w:cs="Times New Roman"/>
          <w:sz w:val="32"/>
          <w:szCs w:val="32"/>
          <w:highlight w:val="none"/>
          <w:lang w:val="en-US" w:eastAsia="zh-CN"/>
        </w:rPr>
        <w:t>无线电管理中心</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14:paraId="4AD74892">
      <w:pPr>
        <w:spacing w:line="600" w:lineRule="exact"/>
        <w:ind w:firstLine="640" w:firstLineChars="200"/>
        <w:rPr>
          <w:rFonts w:hint="default" w:ascii="Times New Roman" w:hAnsi="Times New Roman" w:eastAsia="仿宋_GB2312" w:cs="Times New Roman"/>
          <w:sz w:val="32"/>
          <w:szCs w:val="32"/>
          <w:highlight w:val="green"/>
        </w:rPr>
      </w:pPr>
      <w:r>
        <w:rPr>
          <w:rFonts w:hint="default" w:ascii="Times New Roman" w:hAnsi="Times New Roman" w:eastAsia="仿宋_GB2312" w:cs="Times New Roman"/>
          <w:sz w:val="32"/>
          <w:szCs w:val="32"/>
          <w:highlight w:val="none"/>
        </w:rPr>
        <w:t>从项目效益的角度来看，本项目</w:t>
      </w:r>
      <w:r>
        <w:rPr>
          <w:rFonts w:hint="eastAsia"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rPr>
        <w:t>预期的社会效益方面产生了积极的影响。具体而言，新设施营造出更为规范、安全的环境，极大地提升了</w:t>
      </w:r>
      <w:r>
        <w:rPr>
          <w:rFonts w:hint="eastAsia" w:ascii="仿宋_GB2312" w:hAnsi="仿宋_GB2312" w:eastAsia="仿宋_GB2312" w:cs="仿宋_GB2312"/>
          <w:b w:val="0"/>
          <w:bCs w:val="0"/>
          <w:sz w:val="32"/>
          <w:szCs w:val="32"/>
        </w:rPr>
        <w:t>业务楼</w:t>
      </w:r>
      <w:r>
        <w:rPr>
          <w:rFonts w:hint="default" w:ascii="Times New Roman" w:hAnsi="Times New Roman" w:eastAsia="仿宋_GB2312" w:cs="Times New Roman"/>
          <w:sz w:val="32"/>
          <w:szCs w:val="32"/>
          <w:highlight w:val="none"/>
        </w:rPr>
        <w:t>的安全防护等级，提高公共硬件设施的安全系数</w:t>
      </w:r>
      <w:r>
        <w:rPr>
          <w:rFonts w:hint="eastAsia" w:cs="Times New Roman"/>
          <w:sz w:val="32"/>
          <w:szCs w:val="32"/>
          <w:highlight w:val="none"/>
          <w:lang w:eastAsia="zh-CN"/>
        </w:rPr>
        <w:t>，</w:t>
      </w:r>
      <w:r>
        <w:rPr>
          <w:rFonts w:hint="eastAsia" w:ascii="仿宋_GB2312" w:hAnsi="仿宋_GB2312" w:eastAsia="仿宋_GB2312" w:cs="仿宋_GB2312"/>
          <w:sz w:val="32"/>
          <w:szCs w:val="32"/>
        </w:rPr>
        <w:t>防止各类安全生产事故的发生</w:t>
      </w:r>
      <w:r>
        <w:rPr>
          <w:rFonts w:hint="eastAsia" w:ascii="仿宋_GB2312" w:hAnsi="仿宋_GB2312" w:cs="仿宋_GB2312"/>
          <w:sz w:val="32"/>
          <w:szCs w:val="32"/>
          <w:lang w:eastAsia="zh-CN"/>
        </w:rPr>
        <w:t>，</w:t>
      </w:r>
      <w:r>
        <w:rPr>
          <w:rFonts w:hint="default" w:ascii="Times New Roman" w:hAnsi="Times New Roman" w:eastAsia="仿宋_GB2312" w:cs="Times New Roman"/>
          <w:sz w:val="32"/>
          <w:szCs w:val="32"/>
          <w:highlight w:val="none"/>
        </w:rPr>
        <w:t>为我局业务工作的开展提供了有力的</w:t>
      </w:r>
      <w:r>
        <w:rPr>
          <w:rFonts w:hint="eastAsia" w:cs="Times New Roman"/>
          <w:sz w:val="32"/>
          <w:szCs w:val="32"/>
          <w:highlight w:val="none"/>
          <w:lang w:eastAsia="zh-CN"/>
        </w:rPr>
        <w:t>安全保障</w:t>
      </w:r>
      <w:r>
        <w:rPr>
          <w:rFonts w:hint="default" w:ascii="Times New Roman" w:hAnsi="Times New Roman" w:eastAsia="仿宋_GB2312" w:cs="Times New Roman"/>
          <w:sz w:val="32"/>
          <w:szCs w:val="32"/>
          <w:highlight w:val="none"/>
        </w:rPr>
        <w:t>，推动了整体工作效能的提升。</w:t>
      </w:r>
    </w:p>
    <w:p w14:paraId="49FE15EF">
      <w:pPr>
        <w:pStyle w:val="6"/>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综上所述，监测中心业务楼维修维护项目在绩效评价中表现出色，达到了项目的预期目标，并在多个方面取得了显著的成效。</w:t>
      </w:r>
    </w:p>
    <w:p w14:paraId="45DED3D1">
      <w:pPr>
        <w:pStyle w:val="7"/>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14:paraId="2D22B6F8">
      <w:pPr>
        <w:pStyle w:val="7"/>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lang w:eastAsia="zh-CN"/>
        </w:rPr>
      </w:pPr>
      <w:r>
        <w:rPr>
          <w:rFonts w:hint="default" w:ascii="Times New Roman" w:hAnsi="Times New Roman" w:eastAsia="仿宋_GB2312" w:cs="Times New Roman"/>
          <w:b w:val="0"/>
          <w:bCs w:val="0"/>
          <w:color w:val="auto"/>
        </w:rPr>
        <w:t>运用绩效评价组制定的评价指标体系以及财政部《项目支出绩效评价管理办法》（财预〔2020〕10号）文件的评分标准，通过数据采集、问卷调查及访谈等方式，对本项目进行客观评价，最终评分</w:t>
      </w:r>
      <w:r>
        <w:rPr>
          <w:rFonts w:hint="default" w:ascii="Times New Roman" w:hAnsi="Times New Roman" w:eastAsia="仿宋_GB2312" w:cs="Times New Roman"/>
          <w:b w:val="0"/>
          <w:bCs w:val="0"/>
          <w:color w:val="auto"/>
          <w:highlight w:val="none"/>
        </w:rPr>
        <w:t>结果：总得分为</w:t>
      </w:r>
      <w:r>
        <w:rPr>
          <w:rFonts w:hint="eastAsia" w:ascii="Times New Roman" w:hAnsi="Times New Roman"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 xml:space="preserve">分，属于“优”。其中，项目决策类指标权重为20分，得分为 </w:t>
      </w:r>
      <w:r>
        <w:rPr>
          <w:rFonts w:hint="default"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 xml:space="preserve">分，得分率为 </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default" w:ascii="Times New Roman" w:hAnsi="Times New Roman" w:eastAsia="仿宋_GB2312" w:cs="Times New Roman"/>
          <w:b w:val="0"/>
          <w:bCs w:val="0"/>
          <w:color w:val="auto"/>
          <w:highlight w:val="none"/>
          <w:lang w:val="en-US" w:eastAsia="zh-CN"/>
        </w:rPr>
        <w:t>15</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75</w:t>
      </w:r>
      <w:r>
        <w:rPr>
          <w:rFonts w:hint="default" w:ascii="Times New Roman" w:hAnsi="Times New Roman" w:eastAsia="仿宋_GB2312" w:cs="Times New Roman"/>
          <w:b w:val="0"/>
          <w:bCs w:val="0"/>
          <w:color w:val="auto"/>
          <w:highlight w:val="none"/>
        </w:rPr>
        <w:t>%。项目产出类指标权重为</w:t>
      </w:r>
      <w:r>
        <w:rPr>
          <w:rFonts w:hint="eastAsia" w:ascii="Times New Roman" w:hAnsi="Times New Roman"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rPr>
        <w:t>0分，得分为</w:t>
      </w:r>
      <w:r>
        <w:rPr>
          <w:rFonts w:hint="eastAsia" w:ascii="Times New Roman" w:hAnsi="Times New Roman"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val="en-US" w:eastAsia="zh-CN"/>
        </w:rPr>
        <w:t>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w:t>
      </w:r>
      <w:r>
        <w:rPr>
          <w:rFonts w:hint="eastAsia" w:ascii="Times New Roman" w:hAnsi="Times New Roman"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val="en-US" w:eastAsia="zh-CN"/>
        </w:rPr>
        <w:t>0</w:t>
      </w:r>
      <w:r>
        <w:rPr>
          <w:rFonts w:hint="default" w:ascii="Times New Roman" w:hAnsi="Times New Roman" w:eastAsia="仿宋_GB2312" w:cs="Times New Roman"/>
          <w:b w:val="0"/>
          <w:bCs w:val="0"/>
          <w:color w:val="auto"/>
          <w:highlight w:val="none"/>
        </w:rPr>
        <w:t>分，得分为</w:t>
      </w:r>
      <w:r>
        <w:rPr>
          <w:rFonts w:hint="eastAsia" w:ascii="Times New Roman" w:hAnsi="Times New Roman" w:cs="Times New Roman"/>
          <w:b w:val="0"/>
          <w:bCs w:val="0"/>
          <w:color w:val="auto"/>
          <w:highlight w:val="none"/>
          <w:lang w:val="en-US" w:eastAsia="zh-CN"/>
        </w:rPr>
        <w:t>3</w:t>
      </w:r>
      <w:r>
        <w:rPr>
          <w:rFonts w:hint="default" w:ascii="Times New Roman" w:hAnsi="Times New Roman" w:eastAsia="仿宋_GB2312" w:cs="Times New Roman"/>
          <w:b w:val="0"/>
          <w:bCs w:val="0"/>
          <w:color w:val="auto"/>
          <w:highlight w:val="none"/>
          <w:lang w:val="en-US" w:eastAsia="zh-CN"/>
        </w:rPr>
        <w:t>0</w:t>
      </w:r>
      <w:r>
        <w:rPr>
          <w:rFonts w:hint="default" w:ascii="Times New Roman" w:hAnsi="Times New Roman" w:eastAsia="仿宋_GB2312" w:cs="Times New Roman"/>
          <w:b w:val="0"/>
          <w:bCs w:val="0"/>
          <w:color w:val="auto"/>
          <w:highlight w:val="none"/>
        </w:rPr>
        <w:t>分，得分率为</w:t>
      </w:r>
      <w:r>
        <w:rPr>
          <w:rFonts w:hint="default"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w:t>
      </w:r>
      <w:r>
        <w:rPr>
          <w:rFonts w:hint="default" w:ascii="Times New Roman" w:hAnsi="Times New Roman" w:eastAsia="仿宋_GB2312" w:cs="Times New Roman"/>
          <w:b w:val="0"/>
          <w:bCs w:val="0"/>
          <w:color w:val="auto"/>
        </w:rPr>
        <w:t>具体打分情况详见：附件1综合评分表</w:t>
      </w:r>
      <w:r>
        <w:rPr>
          <w:rFonts w:hint="default" w:ascii="Times New Roman" w:hAnsi="Times New Roman" w:eastAsia="仿宋_GB2312" w:cs="Times New Roman"/>
          <w:b w:val="0"/>
          <w:bCs w:val="0"/>
          <w:color w:val="auto"/>
          <w:lang w:eastAsia="zh-CN"/>
        </w:rPr>
        <w:t>。</w:t>
      </w:r>
    </w:p>
    <w:p w14:paraId="4CEFC03B">
      <w:pPr>
        <w:pStyle w:val="7"/>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表1综合评分表</w:t>
      </w:r>
    </w:p>
    <w:tbl>
      <w:tblPr>
        <w:tblStyle w:val="10"/>
        <w:tblW w:w="7583" w:type="dxa"/>
        <w:jc w:val="center"/>
        <w:tblLayout w:type="fixed"/>
        <w:tblCellMar>
          <w:top w:w="0" w:type="dxa"/>
          <w:left w:w="108" w:type="dxa"/>
          <w:bottom w:w="0" w:type="dxa"/>
          <w:right w:w="108" w:type="dxa"/>
        </w:tblCellMar>
      </w:tblPr>
      <w:tblGrid>
        <w:gridCol w:w="3137"/>
        <w:gridCol w:w="2168"/>
        <w:gridCol w:w="2278"/>
      </w:tblGrid>
      <w:tr w14:paraId="7F62486A">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09E4B4C0">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6049A167">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7107D96">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得分</w:t>
            </w:r>
          </w:p>
        </w:tc>
      </w:tr>
      <w:tr w14:paraId="333B19A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612BF35">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14:paraId="2B3ECB47">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C8336AF">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r>
      <w:tr w14:paraId="3D4DE11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F933A47">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14:paraId="56F68923">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DE07AC3">
            <w:pPr>
              <w:jc w:val="center"/>
              <w:rPr>
                <w:rFonts w:hint="default" w:ascii="Times New Roman" w:hAnsi="Times New Roman" w:eastAsia="仿宋_GB2312" w:cs="Times New Roman"/>
                <w:color w:val="auto"/>
                <w:sz w:val="21"/>
                <w:szCs w:val="21"/>
                <w:lang w:val="en-US" w:eastAsia="zh-CN"/>
              </w:rPr>
            </w:pPr>
            <w:r>
              <w:rPr>
                <w:rFonts w:hint="eastAsia" w:cs="Times New Roman"/>
                <w:color w:val="auto"/>
                <w:sz w:val="21"/>
                <w:szCs w:val="21"/>
                <w:lang w:val="en-US" w:eastAsia="zh-CN"/>
              </w:rPr>
              <w:t>20</w:t>
            </w:r>
          </w:p>
        </w:tc>
      </w:tr>
      <w:tr w14:paraId="03EF7CF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130F40C">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14:paraId="5F648DB6">
            <w:pPr>
              <w:jc w:val="center"/>
              <w:rPr>
                <w:rFonts w:hint="default" w:ascii="Times New Roman" w:hAnsi="Times New Roman" w:eastAsia="仿宋_GB2312" w:cs="Times New Roman"/>
                <w:color w:val="auto"/>
                <w:sz w:val="21"/>
                <w:szCs w:val="21"/>
                <w:lang w:val="en-US" w:eastAsia="zh-CN"/>
              </w:rPr>
            </w:pPr>
            <w:r>
              <w:rPr>
                <w:rFonts w:hint="eastAsia" w:cs="Times New Roman"/>
                <w:color w:val="auto"/>
                <w:sz w:val="21"/>
                <w:szCs w:val="21"/>
                <w:lang w:val="en-US" w:eastAsia="zh-CN"/>
              </w:rPr>
              <w:t>4</w:t>
            </w:r>
            <w:r>
              <w:rPr>
                <w:rFonts w:hint="default" w:ascii="Times New Roman" w:hAnsi="Times New Roman" w:eastAsia="仿宋_GB2312" w:cs="Times New Roman"/>
                <w:color w:val="auto"/>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649C788B">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40</w:t>
            </w:r>
          </w:p>
        </w:tc>
      </w:tr>
      <w:tr w14:paraId="028B6F9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7FAE3CF2">
            <w:pPr>
              <w:jc w:val="center"/>
              <w:rPr>
                <w:rFonts w:hint="default" w:ascii="Times New Roman" w:hAnsi="Times New Roman" w:eastAsia="仿宋_GB2312" w:cs="Times New Roman"/>
                <w:color w:val="auto"/>
                <w:sz w:val="21"/>
                <w:szCs w:val="21"/>
              </w:rPr>
            </w:pPr>
            <w:r>
              <w:rPr>
                <w:rFonts w:hint="default" w:ascii="Times New Roman" w:hAnsi="Times New Roman" w:eastAsia="仿宋_GB2312" w:cs="Times New Roman"/>
                <w:color w:val="auto"/>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14:paraId="46EE8D3A">
            <w:pPr>
              <w:jc w:val="center"/>
              <w:rPr>
                <w:rFonts w:hint="default" w:ascii="Times New Roman" w:hAnsi="Times New Roman" w:eastAsia="仿宋_GB2312" w:cs="Times New Roman"/>
                <w:color w:val="auto"/>
                <w:sz w:val="21"/>
                <w:szCs w:val="21"/>
                <w:lang w:val="en-US" w:eastAsia="zh-CN"/>
              </w:rPr>
            </w:pPr>
            <w:r>
              <w:rPr>
                <w:rFonts w:hint="eastAsia" w:cs="Times New Roman"/>
                <w:color w:val="auto"/>
                <w:sz w:val="21"/>
                <w:szCs w:val="21"/>
                <w:lang w:val="en-US" w:eastAsia="zh-CN"/>
              </w:rPr>
              <w:t>3</w:t>
            </w:r>
            <w:r>
              <w:rPr>
                <w:rFonts w:hint="default" w:ascii="Times New Roman" w:hAnsi="Times New Roman" w:eastAsia="仿宋_GB2312" w:cs="Times New Roman"/>
                <w:color w:val="auto"/>
                <w:sz w:val="21"/>
                <w:szCs w:val="21"/>
                <w:lang w:val="en-US" w:eastAsia="zh-CN"/>
              </w:rPr>
              <w:t>0</w:t>
            </w:r>
          </w:p>
        </w:tc>
        <w:tc>
          <w:tcPr>
            <w:tcW w:w="2278" w:type="dxa"/>
            <w:tcBorders>
              <w:top w:val="nil"/>
              <w:left w:val="nil"/>
              <w:bottom w:val="single" w:color="auto" w:sz="4" w:space="0"/>
              <w:right w:val="single" w:color="auto" w:sz="4" w:space="0"/>
            </w:tcBorders>
            <w:shd w:val="clear" w:color="auto" w:fill="auto"/>
            <w:vAlign w:val="center"/>
          </w:tcPr>
          <w:p w14:paraId="56C1F2F2">
            <w:pPr>
              <w:jc w:val="center"/>
              <w:rPr>
                <w:rFonts w:hint="default" w:ascii="Times New Roman" w:hAnsi="Times New Roman" w:eastAsia="仿宋_GB2312" w:cs="Times New Roman"/>
                <w:color w:val="auto"/>
                <w:sz w:val="21"/>
                <w:szCs w:val="21"/>
                <w:lang w:val="en-US" w:eastAsia="zh-CN"/>
              </w:rPr>
            </w:pPr>
            <w:r>
              <w:rPr>
                <w:rFonts w:hint="default" w:ascii="Times New Roman" w:hAnsi="Times New Roman" w:eastAsia="仿宋_GB2312" w:cs="Times New Roman"/>
                <w:color w:val="auto"/>
                <w:sz w:val="21"/>
                <w:szCs w:val="21"/>
                <w:lang w:val="en-US" w:eastAsia="zh-CN"/>
              </w:rPr>
              <w:t>20</w:t>
            </w:r>
          </w:p>
        </w:tc>
      </w:tr>
      <w:tr w14:paraId="61B74D1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E6BD159">
            <w:pPr>
              <w:jc w:val="center"/>
              <w:rPr>
                <w:rFonts w:hint="default" w:ascii="Times New Roman" w:hAnsi="Times New Roman" w:eastAsia="仿宋_GB2312" w:cs="Times New Roman"/>
                <w:b/>
                <w:bCs/>
                <w:color w:val="auto"/>
                <w:sz w:val="21"/>
                <w:szCs w:val="21"/>
              </w:rPr>
            </w:pPr>
            <w:r>
              <w:rPr>
                <w:rFonts w:hint="default" w:ascii="Times New Roman" w:hAnsi="Times New Roman" w:eastAsia="仿宋_GB2312" w:cs="Times New Roman"/>
                <w:b/>
                <w:bCs/>
                <w:color w:val="auto"/>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14:paraId="41DE0C0B">
            <w:pPr>
              <w:jc w:val="center"/>
              <w:rPr>
                <w:rFonts w:hint="default" w:ascii="Times New Roman" w:hAnsi="Times New Roman" w:eastAsia="仿宋_GB2312" w:cs="Times New Roman"/>
                <w:b/>
                <w:bCs/>
                <w:color w:val="auto"/>
                <w:sz w:val="21"/>
                <w:szCs w:val="21"/>
                <w:lang w:val="en-US" w:eastAsia="zh-CN"/>
              </w:rPr>
            </w:pPr>
            <w:r>
              <w:rPr>
                <w:rFonts w:hint="default" w:ascii="Times New Roman" w:hAnsi="Times New Roman" w:eastAsia="仿宋_GB2312" w:cs="Times New Roman"/>
                <w:b/>
                <w:bCs/>
                <w:color w:val="auto"/>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47D79EC0">
            <w:pPr>
              <w:jc w:val="center"/>
              <w:rPr>
                <w:rFonts w:hint="default" w:ascii="Times New Roman" w:hAnsi="Times New Roman" w:eastAsia="仿宋_GB2312" w:cs="Times New Roman"/>
                <w:b/>
                <w:bCs/>
                <w:color w:val="auto"/>
                <w:sz w:val="21"/>
                <w:szCs w:val="21"/>
                <w:lang w:val="en-US" w:eastAsia="zh-CN"/>
              </w:rPr>
            </w:pPr>
            <w:r>
              <w:rPr>
                <w:rFonts w:hint="eastAsia" w:cs="Times New Roman"/>
                <w:b/>
                <w:bCs/>
                <w:color w:val="auto"/>
                <w:sz w:val="21"/>
                <w:szCs w:val="21"/>
                <w:lang w:val="en-US" w:eastAsia="zh-CN"/>
              </w:rPr>
              <w:t>100</w:t>
            </w:r>
          </w:p>
        </w:tc>
      </w:tr>
    </w:tbl>
    <w:p w14:paraId="2DCB6349">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14:paraId="02976A83">
      <w:pPr>
        <w:pStyle w:val="7"/>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14:paraId="667D4453">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项目决策类指标包括项目立项、绩效目标和资金投入三方面的内容，权重分值为20分，实际得分20分，得分率为100%。</w:t>
      </w:r>
      <w:r>
        <w:rPr>
          <w:rFonts w:hint="default" w:ascii="Times New Roman" w:hAnsi="Times New Roman" w:eastAsia="仿宋_GB2312" w:cs="Times New Roman"/>
          <w:b/>
          <w:bCs/>
          <w:sz w:val="32"/>
          <w:szCs w:val="32"/>
          <w:lang w:val="en-US" w:eastAsia="zh-CN"/>
        </w:rPr>
        <w:t>1.项目立项</w:t>
      </w:r>
    </w:p>
    <w:p w14:paraId="4361A4E5">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14:paraId="657DCA3E">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881A5E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14:paraId="521449FA">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17FE8113">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14:paraId="17767072">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14:paraId="274EA444">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54CB5EB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14:paraId="628FB276">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478AD74">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14:paraId="1E57306F">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14:paraId="34F228F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13B2A340">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68FC1B2C">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14:paraId="62E8B43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146612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0264CF8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3C3A0F32">
      <w:pPr>
        <w:pStyle w:val="7"/>
        <w:numPr>
          <w:ilvl w:val="0"/>
          <w:numId w:val="3"/>
        </w:numPr>
        <w:spacing w:before="0" w:after="0" w:line="560" w:lineRule="exact"/>
        <w:ind w:left="-43" w:leftChars="0" w:firstLine="643" w:firstLineChars="0"/>
        <w:jc w:val="both"/>
        <w:rPr>
          <w:rFonts w:hint="default" w:ascii="Times New Roman" w:hAnsi="Times New Roman" w:eastAsia="楷体" w:cs="Times New Roman"/>
        </w:rPr>
      </w:pPr>
      <w:r>
        <w:rPr>
          <w:rFonts w:hint="default" w:ascii="Times New Roman" w:hAnsi="Times New Roman" w:eastAsia="楷体" w:cs="Times New Roman"/>
        </w:rPr>
        <w:t>项目过程情况</w:t>
      </w:r>
    </w:p>
    <w:p w14:paraId="7A23E12F">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lang w:val="en-US" w:eastAsia="zh-CN"/>
        </w:rPr>
        <w:t>项目过程类指标包括资金管理和组织实施两方面的内容，</w:t>
      </w:r>
      <w:r>
        <w:rPr>
          <w:rFonts w:hint="default" w:ascii="Times New Roman" w:hAnsi="Times New Roman" w:eastAsia="仿宋_GB2312" w:cs="Times New Roman"/>
          <w:color w:val="auto"/>
          <w:sz w:val="32"/>
          <w:szCs w:val="32"/>
          <w:highlight w:val="none"/>
          <w:lang w:val="en-US" w:eastAsia="zh-CN"/>
        </w:rPr>
        <w:t>权重分值为20分，实际得分</w:t>
      </w:r>
      <w:r>
        <w:rPr>
          <w:rFonts w:hint="eastAsia"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5BF84207">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14:paraId="48EE5C2C">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14:paraId="7149D329">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cs="Times New Roman"/>
          <w:sz w:val="32"/>
          <w:szCs w:val="32"/>
          <w:highlight w:val="none"/>
          <w:lang w:val="en-US" w:eastAsia="zh-CN"/>
        </w:rPr>
        <w:t>5.08</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其他</w:t>
      </w:r>
      <w:r>
        <w:rPr>
          <w:rFonts w:hint="default" w:ascii="Times New Roman" w:hAnsi="Times New Roman" w:eastAsia="仿宋_GB2312" w:cs="Times New Roman"/>
          <w:sz w:val="32"/>
          <w:szCs w:val="32"/>
          <w:highlight w:val="none"/>
          <w:lang w:val="en-US" w:eastAsia="zh-CN"/>
        </w:rPr>
        <w:t>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14:paraId="7FEE45E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14:paraId="4DEB1983">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cs="Times New Roman"/>
          <w:sz w:val="32"/>
          <w:szCs w:val="32"/>
          <w:highlight w:val="none"/>
          <w:lang w:val="en-US" w:eastAsia="zh-CN"/>
        </w:rPr>
        <w:t>5.08</w:t>
      </w:r>
      <w:r>
        <w:rPr>
          <w:rFonts w:hint="default" w:ascii="Times New Roman" w:hAnsi="Times New Roman" w:eastAsia="仿宋_GB2312" w:cs="Times New Roman"/>
          <w:sz w:val="32"/>
          <w:szCs w:val="32"/>
          <w:highlight w:val="none"/>
          <w:lang w:val="en-US" w:eastAsia="zh-CN"/>
        </w:rPr>
        <w:t>万元，预算执行率为</w:t>
      </w:r>
      <w:r>
        <w:rPr>
          <w:rFonts w:hint="eastAsia"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14:paraId="5ACDE991">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14:paraId="197815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7F76A9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D66F4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17FAC1FE">
      <w:pPr>
        <w:pStyle w:val="13"/>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14:paraId="686ABBCB">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14:paraId="6337A72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4EC9B9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14:paraId="0F38758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4CBD001F">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128685EB">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14:paraId="630B15C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14:paraId="256EDD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59A5C2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14:paraId="39702F43">
      <w:pPr>
        <w:pStyle w:val="8"/>
        <w:numPr>
          <w:ilvl w:val="0"/>
          <w:numId w:val="3"/>
        </w:numPr>
        <w:spacing w:line="560" w:lineRule="exact"/>
        <w:ind w:left="-43" w:leftChars="0" w:firstLine="643" w:firstLineChars="0"/>
        <w:rPr>
          <w:rFonts w:hint="default" w:ascii="Times New Roman" w:hAnsi="Times New Roman" w:eastAsia="楷体_GB2312" w:cs="Times New Roman"/>
          <w:b/>
          <w:bCs/>
          <w:sz w:val="32"/>
          <w:szCs w:val="32"/>
        </w:rPr>
      </w:pPr>
      <w:r>
        <w:rPr>
          <w:rFonts w:hint="eastAsia" w:eastAsia="楷体_GB2312" w:cs="Times New Roman"/>
          <w:b/>
          <w:bCs/>
          <w:sz w:val="32"/>
          <w:szCs w:val="32"/>
          <w:lang w:val="en-US" w:eastAsia="zh-CN"/>
        </w:rPr>
        <w:t>项目产出情况</w:t>
      </w:r>
    </w:p>
    <w:p w14:paraId="649B42A4">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项目产出类指标包括产出数量、产出质量、产出时效</w:t>
      </w:r>
      <w:r>
        <w:rPr>
          <w:rFonts w:hint="eastAsia" w:cs="Times New Roman"/>
          <w:color w:val="auto"/>
          <w:sz w:val="32"/>
          <w:szCs w:val="32"/>
          <w:lang w:val="en-US" w:eastAsia="zh-CN"/>
        </w:rPr>
        <w:t>三</w:t>
      </w:r>
      <w:r>
        <w:rPr>
          <w:rFonts w:hint="default" w:ascii="Times New Roman" w:hAnsi="Times New Roman" w:eastAsia="仿宋_GB2312" w:cs="Times New Roman"/>
          <w:color w:val="auto"/>
          <w:sz w:val="32"/>
          <w:szCs w:val="32"/>
          <w:lang w:val="en-US" w:eastAsia="zh-CN"/>
        </w:rPr>
        <w:t>方面的内容</w:t>
      </w:r>
      <w:r>
        <w:rPr>
          <w:rFonts w:hint="default" w:ascii="Times New Roman" w:hAnsi="Times New Roman" w:eastAsia="仿宋_GB2312" w:cs="Times New Roman"/>
          <w:color w:val="auto"/>
          <w:sz w:val="32"/>
          <w:szCs w:val="32"/>
          <w:highlight w:val="none"/>
          <w:lang w:val="en-US" w:eastAsia="zh-CN"/>
        </w:rPr>
        <w:t>，由</w:t>
      </w:r>
      <w:r>
        <w:rPr>
          <w:rFonts w:hint="eastAsia"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en-US" w:eastAsia="zh-CN"/>
        </w:rPr>
        <w:t>个三级指标构成，权重分为</w:t>
      </w:r>
      <w:r>
        <w:rPr>
          <w:rFonts w:hint="eastAsia"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0分，实际得分</w:t>
      </w:r>
      <w:r>
        <w:rPr>
          <w:rFonts w:hint="eastAsia"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val="en-US" w:eastAsia="zh-CN"/>
        </w:rPr>
        <w:t>0分，得分率为100%。具体</w:t>
      </w:r>
      <w:r>
        <w:rPr>
          <w:rFonts w:hint="default" w:ascii="Times New Roman" w:hAnsi="Times New Roman" w:eastAsia="仿宋_GB2312" w:cs="Times New Roman"/>
          <w:color w:val="auto"/>
          <w:sz w:val="32"/>
          <w:szCs w:val="32"/>
          <w:lang w:val="en-US" w:eastAsia="zh-CN"/>
        </w:rPr>
        <w:t>产出指标完成情况如下：</w:t>
      </w:r>
    </w:p>
    <w:p w14:paraId="2CFFC072">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3035532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ascii="Times New Roman" w:hAnsi="Times New Roman" w:eastAsia="仿宋_GB2312" w:cs="Times New Roman"/>
          <w:color w:val="auto"/>
          <w:sz w:val="32"/>
          <w:szCs w:val="32"/>
          <w:highlight w:val="none"/>
          <w:lang w:val="en-US" w:eastAsia="zh-CN"/>
        </w:rPr>
        <w:t>升级改造项目数</w:t>
      </w:r>
      <w:r>
        <w:rPr>
          <w:rFonts w:hint="default" w:ascii="Times New Roman" w:hAnsi="Times New Roman" w:eastAsia="仿宋_GB2312" w:cs="Times New Roman"/>
          <w:color w:val="auto"/>
          <w:sz w:val="32"/>
          <w:szCs w:val="32"/>
          <w:highlight w:val="none"/>
        </w:rPr>
        <w:t>，指标值：</w:t>
      </w:r>
      <w:r>
        <w:rPr>
          <w:rFonts w:hint="eastAsia"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1个</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1751AEF7">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378231DE">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指标1：</w:t>
      </w:r>
      <w:r>
        <w:rPr>
          <w:rFonts w:hint="default" w:ascii="Times New Roman" w:hAnsi="Times New Roman" w:eastAsia="仿宋_GB2312" w:cs="Times New Roman"/>
          <w:color w:val="auto"/>
          <w:sz w:val="32"/>
          <w:szCs w:val="32"/>
          <w:highlight w:val="none"/>
          <w:lang w:val="en-US" w:eastAsia="zh-CN"/>
        </w:rPr>
        <w:t>项目验收合格率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15978FB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r>
        <w:rPr>
          <w:rFonts w:hint="default" w:ascii="Times New Roman" w:hAnsi="Times New Roman" w:eastAsia="仿宋_GB2312" w:cs="Times New Roman"/>
          <w:color w:val="auto"/>
          <w:sz w:val="32"/>
          <w:szCs w:val="32"/>
          <w:highlight w:val="none"/>
          <w:lang w:val="en-US" w:eastAsia="zh-CN"/>
        </w:rPr>
        <w:t>项目完成及时率（%）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6C5F3C75">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r>
        <w:rPr>
          <w:rFonts w:hint="default" w:ascii="Times New Roman" w:hAnsi="Times New Roman" w:eastAsia="仿宋_GB2312" w:cs="Times New Roman"/>
          <w:color w:val="auto"/>
          <w:sz w:val="32"/>
          <w:szCs w:val="32"/>
          <w:highlight w:val="none"/>
          <w:lang w:val="en-US" w:eastAsia="zh-CN"/>
        </w:rPr>
        <w:t>预算成本控制率，</w:t>
      </w:r>
      <w:r>
        <w:rPr>
          <w:rFonts w:hint="default" w:ascii="Times New Roman" w:hAnsi="Times New Roman" w:eastAsia="仿宋_GB2312" w:cs="Times New Roman"/>
          <w:color w:val="auto"/>
          <w:sz w:val="32"/>
          <w:szCs w:val="32"/>
          <w:highlight w:val="none"/>
        </w:rPr>
        <w:t>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42EF85FA">
      <w:pPr>
        <w:pStyle w:val="8"/>
        <w:numPr>
          <w:ilvl w:val="0"/>
          <w:numId w:val="3"/>
        </w:numPr>
        <w:spacing w:line="560" w:lineRule="exact"/>
        <w:ind w:left="-43" w:leftChars="0" w:firstLine="643" w:firstLineChars="0"/>
        <w:rPr>
          <w:rFonts w:hint="default" w:ascii="Times New Roman" w:hAnsi="Times New Roman" w:eastAsia="楷体_GB2312" w:cs="Times New Roman"/>
          <w:b/>
          <w:bCs/>
          <w:sz w:val="32"/>
          <w:szCs w:val="32"/>
          <w:highlight w:val="none"/>
          <w:lang w:val="en-US" w:eastAsia="zh-CN"/>
        </w:rPr>
      </w:pPr>
      <w:r>
        <w:rPr>
          <w:rFonts w:hint="default" w:ascii="Times New Roman" w:hAnsi="Times New Roman" w:eastAsia="楷体_GB2312" w:cs="Times New Roman"/>
          <w:b/>
          <w:bCs/>
          <w:sz w:val="32"/>
          <w:szCs w:val="32"/>
          <w:highlight w:val="none"/>
          <w:lang w:val="en-US" w:eastAsia="zh-CN"/>
        </w:rPr>
        <w:t>项目效益情况</w:t>
      </w:r>
    </w:p>
    <w:p w14:paraId="086510BE">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项目效益类指标包括项目实施效益和满意度两方面的内容，由个三级指标构成，权重分为</w:t>
      </w:r>
      <w:r>
        <w:rPr>
          <w:rFonts w:hint="eastAsia"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0分，实际得分</w:t>
      </w:r>
      <w:r>
        <w:rPr>
          <w:rFonts w:hint="eastAsia"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0分，得分率为100%。具体效益指</w:t>
      </w:r>
      <w:r>
        <w:rPr>
          <w:rFonts w:hint="default" w:ascii="Times New Roman" w:hAnsi="Times New Roman" w:eastAsia="仿宋_GB2312" w:cs="Times New Roman"/>
          <w:color w:val="auto"/>
          <w:sz w:val="32"/>
          <w:szCs w:val="32"/>
          <w:lang w:val="en-US" w:eastAsia="zh-CN"/>
        </w:rPr>
        <w:t>标及满意度指标完成情况如下：</w:t>
      </w:r>
    </w:p>
    <w:p w14:paraId="322A417C">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1.实施效益：</w:t>
      </w:r>
    </w:p>
    <w:p w14:paraId="3FB1C074">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①经济效益指标：完成房屋出租收入工作</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w:t>
      </w:r>
      <w:r>
        <w:rPr>
          <w:rFonts w:hint="eastAsia" w:cs="Times New Roman"/>
          <w:color w:val="auto"/>
          <w:sz w:val="32"/>
          <w:szCs w:val="32"/>
          <w:highlight w:val="none"/>
          <w:lang w:val="en-US" w:eastAsia="zh-CN"/>
        </w:rPr>
        <w:t>5.08万元</w:t>
      </w:r>
      <w:r>
        <w:rPr>
          <w:rFonts w:hint="default" w:ascii="Times New Roman" w:hAnsi="Times New Roman" w:eastAsia="仿宋_GB2312" w:cs="Times New Roman"/>
          <w:color w:val="auto"/>
          <w:sz w:val="32"/>
          <w:szCs w:val="32"/>
          <w:highlight w:val="none"/>
        </w:rPr>
        <w:t>，实际完成值：</w:t>
      </w:r>
      <w:r>
        <w:rPr>
          <w:rFonts w:hint="eastAsia" w:cs="Times New Roman"/>
          <w:color w:val="auto"/>
          <w:sz w:val="32"/>
          <w:szCs w:val="32"/>
          <w:highlight w:val="none"/>
          <w:lang w:val="en-US" w:eastAsia="zh-CN"/>
        </w:rPr>
        <w:t>5.08万元</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52FBED17">
      <w:pPr>
        <w:shd w:val="clear"/>
        <w:spacing w:line="600" w:lineRule="exact"/>
        <w:ind w:firstLine="640" w:firstLineChars="200"/>
        <w:outlineLvl w:val="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lang w:val="en-US" w:eastAsia="zh-CN"/>
        </w:rPr>
        <w:t>社会效益指标：消除业务楼安全隐患</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&gt;=95%</w:t>
      </w:r>
      <w:r>
        <w:rPr>
          <w:rFonts w:hint="default" w:ascii="Times New Roman" w:hAnsi="Times New Roman" w:eastAsia="仿宋_GB2312" w:cs="Times New Roman"/>
          <w:color w:val="auto"/>
          <w:sz w:val="32"/>
          <w:szCs w:val="32"/>
          <w:highlight w:val="none"/>
        </w:rPr>
        <w:t>，实际完成值：</w:t>
      </w:r>
      <w:r>
        <w:rPr>
          <w:rFonts w:hint="eastAsia"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283E1A79">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lang w:val="en-US" w:eastAsia="zh-CN"/>
        </w:rPr>
        <w:t>满意度指标指标：承租对象满意度</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&gt;=95%</w:t>
      </w:r>
      <w:r>
        <w:rPr>
          <w:rFonts w:hint="default" w:ascii="Times New Roman" w:hAnsi="Times New Roman" w:eastAsia="仿宋_GB2312" w:cs="Times New Roman"/>
          <w:color w:val="auto"/>
          <w:sz w:val="32"/>
          <w:szCs w:val="32"/>
          <w:highlight w:val="none"/>
        </w:rPr>
        <w:t>，实际完成值：</w:t>
      </w:r>
      <w:r>
        <w:rPr>
          <w:rFonts w:hint="eastAsia" w:cs="Times New Roman"/>
          <w:color w:val="auto"/>
          <w:sz w:val="32"/>
          <w:szCs w:val="32"/>
          <w:highlight w:val="none"/>
          <w:lang w:val="en-US" w:eastAsia="zh-CN"/>
        </w:rPr>
        <w:t>=95%</w:t>
      </w:r>
      <w:r>
        <w:rPr>
          <w:rFonts w:hint="default" w:ascii="Times New Roman" w:hAnsi="Times New Roman" w:eastAsia="仿宋_GB2312" w:cs="Times New Roman"/>
          <w:color w:val="auto"/>
          <w:sz w:val="32"/>
          <w:szCs w:val="32"/>
          <w:highlight w:val="none"/>
        </w:rPr>
        <w:t>，指标完成率</w:t>
      </w:r>
      <w:r>
        <w:rPr>
          <w:rFonts w:hint="default" w:ascii="Times New Roman" w:hAnsi="Times New Roman"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偏差原因：无偏差。</w:t>
      </w:r>
    </w:p>
    <w:p w14:paraId="71BE7023">
      <w:pPr>
        <w:spacing w:line="560" w:lineRule="exact"/>
        <w:ind w:firstLine="640" w:firstLineChars="200"/>
        <w:rPr>
          <w:rFonts w:hint="eastAsia" w:ascii="黑体" w:hAnsi="黑体" w:eastAsia="黑体" w:cs="黑体"/>
          <w:b w:val="0"/>
          <w:bCs w:val="0"/>
          <w:sz w:val="32"/>
          <w:szCs w:val="32"/>
          <w:highlight w:val="none"/>
          <w:lang w:val="en-US" w:eastAsia="zh-Hans"/>
        </w:rPr>
      </w:pPr>
      <w:r>
        <w:rPr>
          <w:rFonts w:hint="eastAsia" w:ascii="黑体" w:hAnsi="黑体" w:eastAsia="黑体" w:cs="黑体"/>
          <w:b w:val="0"/>
          <w:bCs w:val="0"/>
          <w:sz w:val="32"/>
          <w:szCs w:val="32"/>
          <w:highlight w:val="none"/>
          <w:lang w:val="en-US" w:eastAsia="zh-CN"/>
        </w:rPr>
        <w:t>五、</w:t>
      </w:r>
      <w:r>
        <w:rPr>
          <w:rFonts w:hint="eastAsia" w:ascii="黑体" w:hAnsi="黑体" w:eastAsia="黑体" w:cs="黑体"/>
          <w:b w:val="0"/>
          <w:bCs w:val="0"/>
          <w:sz w:val="32"/>
          <w:szCs w:val="32"/>
          <w:highlight w:val="none"/>
          <w:lang w:val="en-US" w:eastAsia="zh-Hans"/>
        </w:rPr>
        <w:t>预算执行进度与绩效指标总体完成率偏差</w:t>
      </w:r>
    </w:p>
    <w:p w14:paraId="1C234596">
      <w:pPr>
        <w:pStyle w:val="13"/>
        <w:spacing w:line="560" w:lineRule="exact"/>
        <w:ind w:firstLine="64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lang w:val="en-US" w:eastAsia="zh-CN"/>
        </w:rPr>
        <w:t>监测中心业务楼维修维护项目</w:t>
      </w:r>
      <w:r>
        <w:rPr>
          <w:rFonts w:hint="eastAsia" w:ascii="仿宋_GB2312" w:hAnsi="仿宋_GB2312" w:eastAsia="仿宋_GB2312" w:cs="仿宋_GB2312"/>
          <w:b w:val="0"/>
          <w:bCs w:val="0"/>
          <w:sz w:val="32"/>
          <w:szCs w:val="32"/>
          <w:highlight w:val="none"/>
        </w:rPr>
        <w:t>年初预算</w:t>
      </w:r>
      <w:r>
        <w:rPr>
          <w:rFonts w:hint="eastAsia" w:ascii="仿宋_GB2312" w:hAnsi="仿宋_GB2312" w:cs="仿宋_GB2312"/>
          <w:b w:val="0"/>
          <w:bCs w:val="0"/>
          <w:sz w:val="32"/>
          <w:szCs w:val="32"/>
          <w:highlight w:val="none"/>
          <w:lang w:val="en-US" w:eastAsia="zh-CN"/>
        </w:rPr>
        <w:t>5.08</w:t>
      </w:r>
      <w:r>
        <w:rPr>
          <w:rFonts w:hint="eastAsia" w:ascii="仿宋_GB2312" w:hAnsi="仿宋_GB2312" w:eastAsia="仿宋_GB2312" w:cs="仿宋_GB2312"/>
          <w:b w:val="0"/>
          <w:bCs w:val="0"/>
          <w:sz w:val="32"/>
          <w:szCs w:val="32"/>
          <w:highlight w:val="none"/>
        </w:rPr>
        <w:t>万元，全年预算</w:t>
      </w:r>
      <w:r>
        <w:rPr>
          <w:rFonts w:hint="eastAsia" w:ascii="仿宋_GB2312" w:hAnsi="仿宋_GB2312" w:cs="仿宋_GB2312"/>
          <w:b w:val="0"/>
          <w:bCs w:val="0"/>
          <w:sz w:val="32"/>
          <w:szCs w:val="32"/>
          <w:highlight w:val="none"/>
          <w:lang w:val="en-US" w:eastAsia="zh-CN"/>
        </w:rPr>
        <w:t>5.08</w:t>
      </w:r>
      <w:r>
        <w:rPr>
          <w:rFonts w:hint="eastAsia" w:ascii="仿宋_GB2312" w:hAnsi="仿宋_GB2312" w:eastAsia="仿宋_GB2312" w:cs="仿宋_GB2312"/>
          <w:b w:val="0"/>
          <w:bCs w:val="0"/>
          <w:sz w:val="32"/>
          <w:szCs w:val="32"/>
          <w:highlight w:val="none"/>
        </w:rPr>
        <w:t>万元，实际支出</w:t>
      </w:r>
      <w:r>
        <w:rPr>
          <w:rFonts w:hint="eastAsia" w:ascii="仿宋_GB2312" w:hAnsi="仿宋_GB2312" w:cs="仿宋_GB2312"/>
          <w:b w:val="0"/>
          <w:bCs w:val="0"/>
          <w:sz w:val="32"/>
          <w:szCs w:val="32"/>
          <w:highlight w:val="none"/>
          <w:lang w:val="en-US" w:eastAsia="zh-CN"/>
        </w:rPr>
        <w:t>5.08</w:t>
      </w:r>
      <w:r>
        <w:rPr>
          <w:rFonts w:hint="eastAsia" w:ascii="仿宋_GB2312" w:hAnsi="仿宋_GB2312" w:eastAsia="仿宋_GB2312" w:cs="仿宋_GB2312"/>
          <w:b w:val="0"/>
          <w:bCs w:val="0"/>
          <w:sz w:val="32"/>
          <w:szCs w:val="32"/>
          <w:highlight w:val="none"/>
        </w:rPr>
        <w:t>万元，预算执行率为</w:t>
      </w:r>
      <w:r>
        <w:rPr>
          <w:rFonts w:hint="eastAsia" w:ascii="仿宋_GB2312" w:hAnsi="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val="en-US" w:eastAsia="zh-CN"/>
        </w:rPr>
        <w:t>项目绩效指标总体完成率为</w:t>
      </w:r>
      <w:r>
        <w:rPr>
          <w:rFonts w:hint="eastAsia" w:ascii="仿宋_GB2312" w:hAnsi="仿宋_GB2312" w:cs="仿宋_GB2312"/>
          <w:b w:val="0"/>
          <w:bCs w:val="0"/>
          <w:sz w:val="32"/>
          <w:szCs w:val="32"/>
          <w:highlight w:val="none"/>
          <w:lang w:val="en-US" w:eastAsia="zh-CN"/>
        </w:rPr>
        <w:t>100</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sz w:val="32"/>
          <w:szCs w:val="32"/>
          <w:highlight w:val="none"/>
          <w:lang w:eastAsia="zh-Hans"/>
        </w:rPr>
        <w:t>总体</w:t>
      </w:r>
      <w:r>
        <w:rPr>
          <w:rFonts w:hint="eastAsia" w:ascii="仿宋_GB2312" w:hAnsi="仿宋_GB2312" w:eastAsia="仿宋_GB2312" w:cs="仿宋_GB2312"/>
          <w:b w:val="0"/>
          <w:bCs w:val="0"/>
          <w:sz w:val="32"/>
          <w:szCs w:val="32"/>
          <w:highlight w:val="none"/>
          <w:lang w:val="en-US" w:eastAsia="zh-CN"/>
        </w:rPr>
        <w:t>偏差率为</w:t>
      </w:r>
      <w:r>
        <w:rPr>
          <w:rFonts w:hint="eastAsia" w:ascii="仿宋_GB2312" w:hAnsi="仿宋_GB2312" w:cs="仿宋_GB2312"/>
          <w:b w:val="0"/>
          <w:bCs w:val="0"/>
          <w:sz w:val="32"/>
          <w:szCs w:val="32"/>
          <w:highlight w:val="none"/>
          <w:lang w:val="en-US" w:eastAsia="zh-CN"/>
        </w:rPr>
        <w:t>0</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cs="仿宋_GB2312"/>
          <w:b w:val="0"/>
          <w:bCs w:val="0"/>
          <w:sz w:val="32"/>
          <w:szCs w:val="32"/>
          <w:highlight w:val="none"/>
          <w:lang w:val="en-US" w:eastAsia="zh-CN"/>
        </w:rPr>
        <w:t>。</w:t>
      </w:r>
    </w:p>
    <w:p w14:paraId="550844E8">
      <w:pPr>
        <w:spacing w:line="560" w:lineRule="exact"/>
        <w:ind w:firstLine="640" w:firstLineChars="200"/>
        <w:rPr>
          <w:rStyle w:val="14"/>
          <w:rFonts w:hint="default" w:ascii="Times New Roman" w:hAnsi="Times New Roman" w:cs="Times New Roman"/>
          <w:color w:val="auto"/>
        </w:rPr>
      </w:pPr>
      <w:r>
        <w:rPr>
          <w:rFonts w:hint="eastAsia" w:eastAsia="黑体" w:cs="Times New Roman"/>
          <w:sz w:val="32"/>
          <w:szCs w:val="32"/>
          <w:lang w:val="en-US" w:eastAsia="zh-CN"/>
        </w:rPr>
        <w:t>六</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14:paraId="563D8484">
      <w:pPr>
        <w:spacing w:line="560" w:lineRule="exact"/>
        <w:ind w:firstLine="627" w:firstLineChars="200"/>
        <w:rPr>
          <w:rFonts w:hint="default" w:ascii="Times New Roman" w:hAnsi="Times New Roman" w:eastAsia="楷体" w:cs="Times New Roman"/>
          <w:b/>
          <w:color w:val="auto"/>
          <w:spacing w:val="-4"/>
          <w:sz w:val="32"/>
          <w:szCs w:val="32"/>
        </w:rPr>
      </w:pPr>
      <w:r>
        <w:rPr>
          <w:rFonts w:hint="default" w:ascii="Times New Roman" w:hAnsi="Times New Roman" w:eastAsia="楷体" w:cs="Times New Roman"/>
          <w:b/>
          <w:color w:val="auto"/>
          <w:spacing w:val="-4"/>
          <w:sz w:val="32"/>
          <w:szCs w:val="32"/>
        </w:rPr>
        <w:t>（一）主要经验及做法</w:t>
      </w:r>
    </w:p>
    <w:p w14:paraId="29F02193">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D8CD226">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9E22AEA">
      <w:pPr>
        <w:keepNext/>
        <w:keepLines/>
        <w:numPr>
          <w:ilvl w:val="0"/>
          <w:numId w:val="4"/>
        </w:numPr>
        <w:spacing w:line="560" w:lineRule="exact"/>
        <w:ind w:firstLine="643" w:firstLineChars="200"/>
        <w:rPr>
          <w:rFonts w:hint="default" w:ascii="Times New Roman" w:hAnsi="Times New Roman" w:eastAsia="楷体_GB2312" w:cs="Times New Roman"/>
          <w:b/>
          <w:bCs/>
          <w:color w:val="auto"/>
          <w:sz w:val="32"/>
          <w:szCs w:val="32"/>
        </w:rPr>
      </w:pPr>
      <w:r>
        <w:rPr>
          <w:rFonts w:hint="default" w:ascii="Times New Roman" w:hAnsi="Times New Roman" w:eastAsia="楷体_GB2312" w:cs="Times New Roman"/>
          <w:b/>
          <w:bCs/>
          <w:color w:val="auto"/>
          <w:sz w:val="32"/>
          <w:szCs w:val="32"/>
        </w:rPr>
        <w:t>存在的问题及原因分析</w:t>
      </w:r>
    </w:p>
    <w:p w14:paraId="34F5E8F8">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9159DE8">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2.因岗位调整，轮换频繁，绩效工作人员交接不充分，导致历史数据掌握不全，阶段性任务落实脱节，影响整体工作推进效率。</w:t>
      </w:r>
    </w:p>
    <w:p w14:paraId="7AA91B9D">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3.绩效结果运用的制度保障和激励机制缺失，未</w:t>
      </w:r>
      <w:r>
        <w:rPr>
          <w:rFonts w:hint="eastAsia" w:eastAsia="仿宋_GB2312" w:cs="Times New Roman"/>
          <w:color w:val="auto"/>
          <w:sz w:val="32"/>
          <w:szCs w:val="32"/>
          <w:highlight w:val="none"/>
          <w:lang w:val="en-US" w:eastAsia="zh-CN"/>
        </w:rPr>
        <w:t>将</w:t>
      </w:r>
      <w:r>
        <w:rPr>
          <w:rFonts w:hint="eastAsia" w:ascii="Times New Roman" w:hAnsi="Times New Roman" w:eastAsia="仿宋_GB2312" w:cs="Times New Roman"/>
          <w:color w:val="auto"/>
          <w:sz w:val="32"/>
          <w:szCs w:val="32"/>
          <w:highlight w:val="none"/>
          <w:lang w:val="en-US" w:eastAsia="zh-CN"/>
        </w:rPr>
        <w:t>评价结果有效纳入考核体系；部门间协同整改的职责划分不清晰，缺乏跟踪督办机制。绩效评价结果与后续预算安排、项目管理优化关联度较低，部分问题整改落实不到位，存在“重评价、轻应用”现象。</w:t>
      </w:r>
    </w:p>
    <w:p w14:paraId="38B0057B">
      <w:pPr>
        <w:spacing w:line="560" w:lineRule="exact"/>
        <w:ind w:firstLine="640" w:firstLineChars="200"/>
        <w:rPr>
          <w:rFonts w:hint="default" w:ascii="Times New Roman" w:hAnsi="Times New Roman" w:eastAsia="黑体" w:cs="Times New Roman"/>
          <w:color w:val="auto"/>
          <w:sz w:val="32"/>
          <w:szCs w:val="32"/>
        </w:rPr>
      </w:pPr>
      <w:r>
        <w:rPr>
          <w:rFonts w:hint="default" w:ascii="Times New Roman" w:hAnsi="Times New Roman" w:eastAsia="黑体" w:cs="Times New Roman"/>
          <w:color w:val="auto"/>
          <w:sz w:val="32"/>
          <w:szCs w:val="32"/>
          <w:lang w:val="en-US" w:eastAsia="zh-CN"/>
        </w:rPr>
        <w:t>七.</w:t>
      </w:r>
      <w:r>
        <w:rPr>
          <w:rFonts w:hint="default" w:ascii="Times New Roman" w:hAnsi="Times New Roman" w:eastAsia="黑体" w:cs="Times New Roman"/>
          <w:color w:val="auto"/>
          <w:sz w:val="32"/>
          <w:szCs w:val="32"/>
        </w:rPr>
        <w:t>有关建议</w:t>
      </w:r>
    </w:p>
    <w:p w14:paraId="0C104304">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项目决策的建议：1.专门设定对绩效工作人员定职、定岗、定责等相关制度措施，进一步提升我单位绩效管理工作业务水平，扎实做好绩效管理工作。2.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467C43B8">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预算安排与执行的建议:建议深化预算绩效一体化管理，将绩效目标设定与预算编制紧密结合，优化资金分配结构。通过定期组织绩效管理培训，提升业务人员专业能力；建立绩效岗位责任清单，明确职责分工，确保绩效目标全程跟踪。执行过程中需要严格对照预算进度，动态监控资金使用合规性，对偏离绩效目标的情况及时预警并调整，落实“花钱必问效”要求。</w:t>
      </w:r>
    </w:p>
    <w:p w14:paraId="5438025C">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对资金管理的建议：1.建立健全资金全流程监管机制，强化财政制度刚性约束。2.项目启动后需同步完善财务资料归档，按节点收集并审核支出凭证、合同等资料，确保数据真实可追溯。3.定期开展资金使用合规性自查，重点核查超预算支出、挪用资金等风险点。4.对重大项目资金支出，实行“事前评估-事中跟踪-事后复盘”全流程管理。</w:t>
      </w:r>
    </w:p>
    <w:p w14:paraId="11C5FA17">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项目管理的建议：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B088F12">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八</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0" w:name="page8"/>
      <w:bookmarkEnd w:id="0"/>
      <w:r>
        <w:rPr>
          <w:rFonts w:hint="default" w:ascii="Times New Roman" w:hAnsi="Times New Roman" w:eastAsia="黑体" w:cs="Times New Roman"/>
          <w:sz w:val="32"/>
          <w:szCs w:val="32"/>
        </w:rPr>
        <w:t>明的问题</w:t>
      </w:r>
    </w:p>
    <w:p w14:paraId="17B5DFA2">
      <w:pPr>
        <w:pStyle w:val="9"/>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14:paraId="3129B6F9">
      <w:pPr>
        <w:pStyle w:val="9"/>
        <w:ind w:left="0" w:leftChars="0" w:firstLine="0" w:firstLineChars="0"/>
        <w:rPr>
          <w:rFonts w:hint="eastAsia"/>
          <w:lang w:val="en-US" w:eastAsia="zh-CN"/>
        </w:rPr>
      </w:pPr>
      <w:r>
        <w:rPr>
          <w:rFonts w:hint="eastAsia"/>
          <w:lang w:val="en-US" w:eastAsia="zh-CN"/>
        </w:rPr>
        <w:t xml:space="preserve">      无</w:t>
      </w:r>
    </w:p>
    <w:p w14:paraId="1E8594A6">
      <w:pPr>
        <w:pStyle w:val="9"/>
        <w:ind w:left="0" w:leftChars="0" w:firstLine="0" w:firstLineChars="0"/>
        <w:rPr>
          <w:rFonts w:hint="eastAsia"/>
          <w:lang w:val="en-US" w:eastAsia="zh-CN"/>
        </w:rPr>
      </w:pPr>
    </w:p>
    <w:p w14:paraId="50960CF9">
      <w:pPr>
        <w:pStyle w:val="9"/>
        <w:ind w:left="0" w:leftChars="0" w:firstLine="0" w:firstLineChars="0"/>
        <w:rPr>
          <w:rFonts w:hint="eastAsia"/>
          <w:lang w:val="en-US" w:eastAsia="zh-CN"/>
        </w:rPr>
      </w:pPr>
    </w:p>
    <w:p w14:paraId="2020E783">
      <w:pPr>
        <w:pStyle w:val="9"/>
        <w:ind w:left="0" w:leftChars="0" w:firstLine="0" w:firstLineChars="0"/>
        <w:rPr>
          <w:rFonts w:hint="eastAsia"/>
          <w:lang w:val="en-US" w:eastAsia="zh-CN"/>
        </w:rPr>
      </w:pPr>
    </w:p>
    <w:p w14:paraId="4338F102">
      <w:pPr>
        <w:pStyle w:val="9"/>
        <w:ind w:left="0" w:leftChars="0" w:firstLine="0" w:firstLineChars="0"/>
        <w:rPr>
          <w:rFonts w:hint="eastAsia"/>
          <w:lang w:val="en-US" w:eastAsia="zh-CN"/>
        </w:rPr>
      </w:pPr>
    </w:p>
    <w:p w14:paraId="0A369758">
      <w:pPr>
        <w:pStyle w:val="9"/>
        <w:ind w:left="0" w:leftChars="0" w:firstLine="0" w:firstLineChars="0"/>
        <w:rPr>
          <w:rFonts w:hint="eastAsia"/>
          <w:lang w:val="en-US" w:eastAsia="zh-CN"/>
        </w:rPr>
      </w:pPr>
    </w:p>
    <w:p w14:paraId="339C88CE">
      <w:pPr>
        <w:pStyle w:val="9"/>
        <w:ind w:left="0" w:leftChars="0" w:firstLine="0" w:firstLineChars="0"/>
        <w:rPr>
          <w:rFonts w:hint="eastAsia"/>
          <w:lang w:val="en-US" w:eastAsia="zh-CN"/>
        </w:rPr>
      </w:pPr>
    </w:p>
    <w:p w14:paraId="3E7C6C6B">
      <w:pPr>
        <w:pStyle w:val="9"/>
        <w:ind w:left="0" w:leftChars="0" w:firstLine="0" w:firstLineChars="0"/>
        <w:rPr>
          <w:rFonts w:hint="eastAsia"/>
          <w:lang w:val="en-US" w:eastAsia="zh-CN"/>
        </w:rPr>
      </w:pPr>
    </w:p>
    <w:p w14:paraId="111FD154">
      <w:pPr>
        <w:pStyle w:val="9"/>
        <w:ind w:left="0" w:leftChars="0" w:firstLine="0" w:firstLineChars="0"/>
        <w:rPr>
          <w:rFonts w:hint="eastAsia"/>
          <w:lang w:val="en-US" w:eastAsia="zh-CN"/>
        </w:rPr>
      </w:pPr>
    </w:p>
    <w:p w14:paraId="5E0CA156">
      <w:pPr>
        <w:pStyle w:val="9"/>
        <w:ind w:left="0" w:leftChars="0" w:firstLine="0" w:firstLineChars="0"/>
        <w:rPr>
          <w:rFonts w:hint="eastAsia"/>
          <w:lang w:val="en-US" w:eastAsia="zh-CN"/>
        </w:rPr>
      </w:pPr>
    </w:p>
    <w:p w14:paraId="5E74C775">
      <w:pPr>
        <w:pStyle w:val="9"/>
        <w:ind w:left="0" w:leftChars="0" w:firstLine="0" w:firstLineChars="0"/>
        <w:rPr>
          <w:rFonts w:hint="eastAsia"/>
          <w:lang w:val="en-US" w:eastAsia="zh-CN"/>
        </w:rPr>
      </w:pPr>
    </w:p>
    <w:p w14:paraId="4D4D0CF9">
      <w:pPr>
        <w:pStyle w:val="9"/>
        <w:ind w:left="0" w:leftChars="0" w:firstLine="0" w:firstLineChars="0"/>
        <w:rPr>
          <w:rFonts w:hint="eastAsia"/>
          <w:lang w:val="en-US" w:eastAsia="zh-CN"/>
        </w:rPr>
      </w:pPr>
    </w:p>
    <w:p w14:paraId="517F4521">
      <w:pPr>
        <w:pStyle w:val="9"/>
        <w:ind w:left="0" w:leftChars="0" w:firstLine="0" w:firstLineChars="0"/>
        <w:rPr>
          <w:rFonts w:hint="eastAsia"/>
          <w:lang w:val="en-US" w:eastAsia="zh-CN"/>
        </w:rPr>
      </w:pPr>
    </w:p>
    <w:p w14:paraId="4A56CF46">
      <w:pPr>
        <w:pStyle w:val="9"/>
        <w:ind w:left="0" w:leftChars="0" w:firstLine="0" w:firstLineChars="0"/>
        <w:rPr>
          <w:rFonts w:hint="eastAsia"/>
          <w:lang w:val="en-US" w:eastAsia="zh-CN"/>
        </w:rPr>
      </w:pPr>
    </w:p>
    <w:p w14:paraId="21F04811">
      <w:pPr>
        <w:pStyle w:val="9"/>
        <w:ind w:left="0" w:leftChars="0" w:firstLine="0" w:firstLineChars="0"/>
        <w:rPr>
          <w:rFonts w:hint="eastAsia"/>
          <w:lang w:val="en-US" w:eastAsia="zh-CN"/>
        </w:rPr>
      </w:pPr>
    </w:p>
    <w:p w14:paraId="136768A5">
      <w:pPr>
        <w:pStyle w:val="9"/>
        <w:ind w:left="0" w:leftChars="0" w:firstLine="0" w:firstLineChars="0"/>
        <w:rPr>
          <w:rFonts w:hint="eastAsia"/>
          <w:lang w:val="en-US" w:eastAsia="zh-CN"/>
        </w:rPr>
        <w:sectPr>
          <w:pgSz w:w="11906" w:h="16838"/>
          <w:pgMar w:top="1928" w:right="1531" w:bottom="1701" w:left="1531" w:header="737" w:footer="851" w:gutter="0"/>
          <w:cols w:space="720" w:num="1"/>
          <w:docGrid w:type="lines" w:linePitch="408" w:charSpace="0"/>
        </w:sectPr>
      </w:pPr>
    </w:p>
    <w:p w14:paraId="020B4B4B">
      <w:pPr>
        <w:pStyle w:val="9"/>
        <w:ind w:left="0" w:leftChars="0" w:firstLine="0" w:firstLineChars="0"/>
        <w:rPr>
          <w:rFonts w:hint="eastAsia"/>
          <w:lang w:val="en-US" w:eastAsia="zh-CN"/>
        </w:rPr>
      </w:pPr>
    </w:p>
    <w:p w14:paraId="463136AF">
      <w:pPr>
        <w:pStyle w:val="9"/>
        <w:ind w:left="0" w:leftChars="0" w:firstLine="0" w:firstLineChars="0"/>
        <w:rPr>
          <w:rFonts w:hint="eastAsia"/>
          <w:lang w:val="en-US" w:eastAsia="zh-CN"/>
        </w:rPr>
      </w:pPr>
    </w:p>
    <w:tbl>
      <w:tblPr>
        <w:tblStyle w:val="10"/>
        <w:tblW w:w="1264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74"/>
        <w:gridCol w:w="1133"/>
        <w:gridCol w:w="1022"/>
        <w:gridCol w:w="1642"/>
        <w:gridCol w:w="5036"/>
        <w:gridCol w:w="922"/>
        <w:gridCol w:w="1314"/>
      </w:tblGrid>
      <w:tr w14:paraId="3D4369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6" w:hRule="atLeast"/>
          <w:tblHeader/>
          <w:jc w:val="center"/>
        </w:trPr>
        <w:tc>
          <w:tcPr>
            <w:tcW w:w="1574" w:type="dxa"/>
            <w:shd w:val="clear" w:color="auto" w:fill="FFFFFF"/>
            <w:vAlign w:val="center"/>
          </w:tcPr>
          <w:p w14:paraId="61FC019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1133" w:type="dxa"/>
            <w:shd w:val="clear" w:color="auto" w:fill="FFFFFF"/>
            <w:vAlign w:val="center"/>
          </w:tcPr>
          <w:p w14:paraId="0B30CC2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1022" w:type="dxa"/>
            <w:shd w:val="clear" w:color="auto" w:fill="FFFFFF"/>
            <w:vAlign w:val="center"/>
          </w:tcPr>
          <w:p w14:paraId="0ED924C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1642" w:type="dxa"/>
            <w:shd w:val="clear" w:color="auto" w:fill="FFFFFF"/>
            <w:vAlign w:val="center"/>
          </w:tcPr>
          <w:p w14:paraId="32B3D91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5036" w:type="dxa"/>
            <w:shd w:val="clear" w:color="auto" w:fill="FFFFFF"/>
            <w:vAlign w:val="center"/>
          </w:tcPr>
          <w:p w14:paraId="2CE11FA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922" w:type="dxa"/>
            <w:shd w:val="clear" w:color="auto" w:fill="FFFFFF"/>
            <w:vAlign w:val="center"/>
          </w:tcPr>
          <w:p w14:paraId="113A904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1314" w:type="dxa"/>
            <w:shd w:val="clear" w:color="auto" w:fill="FFFFFF"/>
            <w:vAlign w:val="center"/>
          </w:tcPr>
          <w:p w14:paraId="278AEE4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14:paraId="7F57F6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1574" w:type="dxa"/>
            <w:vMerge w:val="restart"/>
            <w:shd w:val="clear" w:color="auto" w:fill="FFFFFF"/>
            <w:vAlign w:val="center"/>
          </w:tcPr>
          <w:p w14:paraId="37208860">
            <w:pPr>
              <w:widowControl/>
              <w:spacing w:line="0" w:lineRule="atLeast"/>
              <w:jc w:val="center"/>
              <w:rPr>
                <w:rFonts w:hint="default" w:ascii="Times New Roman" w:hAnsi="Times New Roman" w:eastAsia="仿宋_GB2312" w:cs="Times New Roman"/>
                <w:color w:val="000000"/>
                <w:kern w:val="0"/>
                <w:sz w:val="18"/>
                <w:szCs w:val="18"/>
              </w:rPr>
            </w:pPr>
          </w:p>
          <w:p w14:paraId="238CD523">
            <w:pPr>
              <w:widowControl/>
              <w:spacing w:line="0" w:lineRule="atLeast"/>
              <w:jc w:val="center"/>
              <w:rPr>
                <w:rFonts w:hint="default" w:ascii="Times New Roman" w:hAnsi="Times New Roman" w:eastAsia="仿宋_GB2312" w:cs="Times New Roman"/>
                <w:color w:val="000000"/>
                <w:kern w:val="0"/>
                <w:sz w:val="18"/>
                <w:szCs w:val="18"/>
              </w:rPr>
            </w:pPr>
          </w:p>
          <w:p w14:paraId="4B34998D">
            <w:pPr>
              <w:widowControl/>
              <w:spacing w:line="0" w:lineRule="atLeast"/>
              <w:jc w:val="center"/>
              <w:rPr>
                <w:rFonts w:hint="default" w:ascii="Times New Roman" w:hAnsi="Times New Roman" w:eastAsia="仿宋_GB2312" w:cs="Times New Roman"/>
                <w:color w:val="000000"/>
                <w:kern w:val="0"/>
                <w:sz w:val="18"/>
                <w:szCs w:val="18"/>
              </w:rPr>
            </w:pPr>
          </w:p>
          <w:p w14:paraId="402F7028">
            <w:pPr>
              <w:widowControl/>
              <w:spacing w:line="0" w:lineRule="atLeast"/>
              <w:jc w:val="center"/>
              <w:rPr>
                <w:rFonts w:hint="default" w:ascii="Times New Roman" w:hAnsi="Times New Roman" w:eastAsia="仿宋_GB2312" w:cs="Times New Roman"/>
                <w:color w:val="000000"/>
                <w:kern w:val="0"/>
                <w:sz w:val="18"/>
                <w:szCs w:val="18"/>
              </w:rPr>
            </w:pPr>
          </w:p>
          <w:p w14:paraId="4BA90EAE">
            <w:pPr>
              <w:widowControl/>
              <w:spacing w:line="0" w:lineRule="atLeast"/>
              <w:jc w:val="center"/>
              <w:rPr>
                <w:rFonts w:hint="default" w:ascii="Times New Roman" w:hAnsi="Times New Roman" w:eastAsia="仿宋_GB2312" w:cs="Times New Roman"/>
                <w:color w:val="000000"/>
                <w:kern w:val="0"/>
                <w:sz w:val="18"/>
                <w:szCs w:val="18"/>
              </w:rPr>
            </w:pPr>
          </w:p>
          <w:p w14:paraId="2B095E13">
            <w:pPr>
              <w:widowControl/>
              <w:spacing w:line="0" w:lineRule="atLeast"/>
              <w:jc w:val="center"/>
              <w:rPr>
                <w:rFonts w:hint="default" w:ascii="Times New Roman" w:hAnsi="Times New Roman" w:eastAsia="仿宋_GB2312" w:cs="Times New Roman"/>
                <w:color w:val="000000"/>
                <w:kern w:val="0"/>
                <w:sz w:val="18"/>
                <w:szCs w:val="18"/>
              </w:rPr>
            </w:pPr>
          </w:p>
          <w:p w14:paraId="34CA163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1133" w:type="dxa"/>
            <w:vMerge w:val="restart"/>
            <w:shd w:val="clear" w:color="auto" w:fill="FFFFFF"/>
            <w:vAlign w:val="center"/>
          </w:tcPr>
          <w:p w14:paraId="6840699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1022" w:type="dxa"/>
            <w:shd w:val="clear" w:color="auto" w:fill="FFFFFF"/>
            <w:vAlign w:val="center"/>
          </w:tcPr>
          <w:p w14:paraId="453E8F7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14:paraId="3C6E3EA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1642" w:type="dxa"/>
            <w:shd w:val="clear" w:color="auto" w:fill="FFFFFF"/>
            <w:vAlign w:val="center"/>
          </w:tcPr>
          <w:p w14:paraId="2870C0E1">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5036" w:type="dxa"/>
            <w:shd w:val="clear" w:color="auto" w:fill="FFFFFF"/>
            <w:vAlign w:val="center"/>
          </w:tcPr>
          <w:p w14:paraId="66FD8972">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922" w:type="dxa"/>
            <w:shd w:val="clear" w:color="auto" w:fill="FFFFFF"/>
            <w:vAlign w:val="center"/>
          </w:tcPr>
          <w:p w14:paraId="1EDAEE3D">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14" w:type="dxa"/>
            <w:shd w:val="clear" w:color="auto" w:fill="FFFFFF"/>
            <w:vAlign w:val="center"/>
          </w:tcPr>
          <w:p w14:paraId="2503756D">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default" w:ascii="Times New Roman" w:hAnsi="Times New Roman" w:eastAsia="仿宋_GB2312" w:cs="Times New Roman"/>
                <w:b/>
                <w:bCs/>
                <w:color w:val="000000"/>
                <w:kern w:val="0"/>
                <w:sz w:val="18"/>
                <w:szCs w:val="18"/>
              </w:rPr>
              <w:t>3</w:t>
            </w:r>
          </w:p>
        </w:tc>
      </w:tr>
      <w:tr w14:paraId="0D7DBD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3" w:hRule="atLeast"/>
          <w:jc w:val="center"/>
        </w:trPr>
        <w:tc>
          <w:tcPr>
            <w:tcW w:w="1574" w:type="dxa"/>
            <w:vMerge w:val="continue"/>
            <w:shd w:val="clear" w:color="auto" w:fill="FFFFFF"/>
            <w:vAlign w:val="center"/>
          </w:tcPr>
          <w:p w14:paraId="22E41CE1">
            <w:pPr>
              <w:spacing w:line="0" w:lineRule="atLeast"/>
              <w:jc w:val="center"/>
              <w:rPr>
                <w:rFonts w:hint="default" w:ascii="Times New Roman" w:hAnsi="Times New Roman" w:eastAsia="仿宋_GB2312" w:cs="Times New Roman"/>
                <w:color w:val="000000"/>
                <w:kern w:val="0"/>
                <w:sz w:val="18"/>
                <w:szCs w:val="18"/>
              </w:rPr>
            </w:pPr>
          </w:p>
        </w:tc>
        <w:tc>
          <w:tcPr>
            <w:tcW w:w="1133" w:type="dxa"/>
            <w:vMerge w:val="continue"/>
            <w:shd w:val="clear" w:color="auto" w:fill="FFFFFF"/>
            <w:vAlign w:val="center"/>
          </w:tcPr>
          <w:p w14:paraId="1DDFB558">
            <w:pPr>
              <w:widowControl/>
              <w:spacing w:line="0" w:lineRule="atLeast"/>
              <w:jc w:val="center"/>
              <w:rPr>
                <w:rFonts w:hint="default" w:ascii="Times New Roman" w:hAnsi="Times New Roman" w:eastAsia="仿宋_GB2312" w:cs="Times New Roman"/>
                <w:color w:val="000000"/>
                <w:kern w:val="0"/>
                <w:sz w:val="18"/>
                <w:szCs w:val="18"/>
              </w:rPr>
            </w:pPr>
          </w:p>
        </w:tc>
        <w:tc>
          <w:tcPr>
            <w:tcW w:w="1022" w:type="dxa"/>
            <w:shd w:val="clear" w:color="auto" w:fill="FFFFFF"/>
            <w:vAlign w:val="center"/>
          </w:tcPr>
          <w:p w14:paraId="0ECF9C09">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14:paraId="05FDB8A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1642" w:type="dxa"/>
            <w:shd w:val="clear" w:color="auto" w:fill="FFFFFF"/>
            <w:vAlign w:val="center"/>
          </w:tcPr>
          <w:p w14:paraId="5435B1EC">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5036" w:type="dxa"/>
            <w:shd w:val="clear" w:color="auto" w:fill="FFFFFF"/>
            <w:vAlign w:val="center"/>
          </w:tcPr>
          <w:p w14:paraId="3AC3A4E8">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922" w:type="dxa"/>
            <w:shd w:val="clear" w:color="auto" w:fill="FFFFFF"/>
            <w:vAlign w:val="center"/>
          </w:tcPr>
          <w:p w14:paraId="2CD375A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14" w:type="dxa"/>
            <w:shd w:val="clear" w:color="auto" w:fill="FFFFFF"/>
            <w:vAlign w:val="center"/>
          </w:tcPr>
          <w:p w14:paraId="2C51FF81">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492CBB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8" w:hRule="atLeast"/>
          <w:jc w:val="center"/>
        </w:trPr>
        <w:tc>
          <w:tcPr>
            <w:tcW w:w="1574" w:type="dxa"/>
            <w:vMerge w:val="continue"/>
            <w:shd w:val="clear" w:color="auto" w:fill="FFFFFF"/>
            <w:vAlign w:val="center"/>
          </w:tcPr>
          <w:p w14:paraId="16B152E0">
            <w:pPr>
              <w:spacing w:line="0" w:lineRule="atLeast"/>
              <w:jc w:val="center"/>
              <w:rPr>
                <w:rFonts w:hint="default" w:ascii="Times New Roman" w:hAnsi="Times New Roman" w:eastAsia="仿宋_GB2312" w:cs="Times New Roman"/>
                <w:color w:val="000000"/>
                <w:kern w:val="0"/>
                <w:sz w:val="18"/>
                <w:szCs w:val="18"/>
              </w:rPr>
            </w:pPr>
          </w:p>
        </w:tc>
        <w:tc>
          <w:tcPr>
            <w:tcW w:w="1133" w:type="dxa"/>
            <w:vMerge w:val="restart"/>
            <w:shd w:val="clear" w:color="auto" w:fill="FFFFFF"/>
            <w:vAlign w:val="center"/>
          </w:tcPr>
          <w:p w14:paraId="71DF6BA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1022" w:type="dxa"/>
            <w:shd w:val="clear" w:color="auto" w:fill="FFFFFF"/>
            <w:vAlign w:val="center"/>
          </w:tcPr>
          <w:p w14:paraId="75D237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14:paraId="11AC134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642" w:type="dxa"/>
            <w:shd w:val="clear" w:color="000000" w:fill="FFFFFF"/>
            <w:vAlign w:val="center"/>
          </w:tcPr>
          <w:p w14:paraId="291A557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5036" w:type="dxa"/>
            <w:shd w:val="clear" w:color="000000" w:fill="FFFFFF"/>
            <w:vAlign w:val="center"/>
          </w:tcPr>
          <w:p w14:paraId="5DA21CA5">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14:paraId="4556FB6D">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922" w:type="dxa"/>
            <w:shd w:val="clear" w:color="000000" w:fill="FFFFFF"/>
            <w:vAlign w:val="center"/>
          </w:tcPr>
          <w:p w14:paraId="6A68193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14" w:type="dxa"/>
            <w:shd w:val="clear" w:color="000000" w:fill="FFFFFF"/>
            <w:vAlign w:val="center"/>
          </w:tcPr>
          <w:p w14:paraId="09AE82C2">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1035CF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7" w:hRule="atLeast"/>
          <w:jc w:val="center"/>
        </w:trPr>
        <w:tc>
          <w:tcPr>
            <w:tcW w:w="1574" w:type="dxa"/>
            <w:vMerge w:val="continue"/>
            <w:shd w:val="clear" w:color="auto" w:fill="FFFFFF"/>
            <w:vAlign w:val="center"/>
          </w:tcPr>
          <w:p w14:paraId="29E0BA07">
            <w:pPr>
              <w:widowControl/>
              <w:spacing w:line="0" w:lineRule="atLeast"/>
              <w:jc w:val="center"/>
              <w:rPr>
                <w:rFonts w:hint="default" w:ascii="Times New Roman" w:hAnsi="Times New Roman" w:eastAsia="仿宋_GB2312" w:cs="Times New Roman"/>
                <w:color w:val="000000"/>
                <w:kern w:val="0"/>
                <w:sz w:val="18"/>
                <w:szCs w:val="18"/>
              </w:rPr>
            </w:pPr>
          </w:p>
        </w:tc>
        <w:tc>
          <w:tcPr>
            <w:tcW w:w="1133" w:type="dxa"/>
            <w:vMerge w:val="continue"/>
            <w:shd w:val="clear" w:color="auto" w:fill="FFFFFF"/>
            <w:vAlign w:val="center"/>
          </w:tcPr>
          <w:p w14:paraId="19226F93">
            <w:pPr>
              <w:widowControl/>
              <w:spacing w:line="0" w:lineRule="atLeast"/>
              <w:jc w:val="center"/>
              <w:rPr>
                <w:rFonts w:hint="default" w:ascii="Times New Roman" w:hAnsi="Times New Roman" w:eastAsia="仿宋_GB2312" w:cs="Times New Roman"/>
                <w:color w:val="000000"/>
                <w:kern w:val="0"/>
                <w:sz w:val="18"/>
                <w:szCs w:val="18"/>
              </w:rPr>
            </w:pPr>
          </w:p>
        </w:tc>
        <w:tc>
          <w:tcPr>
            <w:tcW w:w="1022" w:type="dxa"/>
            <w:shd w:val="clear" w:color="auto" w:fill="FFFFFF"/>
            <w:vAlign w:val="center"/>
          </w:tcPr>
          <w:p w14:paraId="4C14DEE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14:paraId="387DE2B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1642" w:type="dxa"/>
            <w:shd w:val="clear" w:color="000000" w:fill="FFFFFF"/>
            <w:vAlign w:val="center"/>
          </w:tcPr>
          <w:p w14:paraId="349A3B9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5036" w:type="dxa"/>
            <w:shd w:val="clear" w:color="000000" w:fill="FFFFFF"/>
            <w:vAlign w:val="center"/>
          </w:tcPr>
          <w:p w14:paraId="19C8BCC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922" w:type="dxa"/>
            <w:shd w:val="clear" w:color="000000" w:fill="FFFFFF"/>
            <w:vAlign w:val="center"/>
          </w:tcPr>
          <w:p w14:paraId="27AEFDF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1314" w:type="dxa"/>
            <w:shd w:val="clear" w:color="000000" w:fill="FFFFFF"/>
            <w:vAlign w:val="center"/>
          </w:tcPr>
          <w:p w14:paraId="41B3107E">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r>
      <w:tr w14:paraId="05E9F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03" w:hRule="atLeast"/>
          <w:jc w:val="center"/>
        </w:trPr>
        <w:tc>
          <w:tcPr>
            <w:tcW w:w="1574" w:type="dxa"/>
            <w:vMerge w:val="continue"/>
            <w:shd w:val="clear" w:color="auto" w:fill="FFFFFF"/>
            <w:vAlign w:val="center"/>
          </w:tcPr>
          <w:p w14:paraId="7E51512F">
            <w:pPr>
              <w:spacing w:line="0" w:lineRule="atLeast"/>
              <w:jc w:val="center"/>
              <w:rPr>
                <w:rFonts w:hint="default" w:ascii="Times New Roman" w:hAnsi="Times New Roman" w:eastAsia="仿宋_GB2312" w:cs="Times New Roman"/>
                <w:color w:val="000000"/>
                <w:kern w:val="0"/>
                <w:sz w:val="18"/>
                <w:szCs w:val="18"/>
              </w:rPr>
            </w:pPr>
          </w:p>
        </w:tc>
        <w:tc>
          <w:tcPr>
            <w:tcW w:w="1133" w:type="dxa"/>
            <w:vMerge w:val="restart"/>
            <w:shd w:val="clear" w:color="auto" w:fill="FFFFFF"/>
            <w:vAlign w:val="center"/>
          </w:tcPr>
          <w:p w14:paraId="1A6DD72D">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14:paraId="52EB4B7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22" w:type="dxa"/>
            <w:shd w:val="clear" w:color="auto" w:fill="FFFFFF"/>
            <w:vAlign w:val="center"/>
          </w:tcPr>
          <w:p w14:paraId="77F383E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14:paraId="6E607DC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1642" w:type="dxa"/>
            <w:shd w:val="clear" w:color="auto" w:fill="FFFFFF"/>
            <w:vAlign w:val="center"/>
          </w:tcPr>
          <w:p w14:paraId="50B98F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5036" w:type="dxa"/>
            <w:shd w:val="clear" w:color="auto" w:fill="FFFFFF"/>
            <w:vAlign w:val="center"/>
          </w:tcPr>
          <w:p w14:paraId="0D48245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922" w:type="dxa"/>
            <w:shd w:val="clear" w:color="auto" w:fill="FFFFFF"/>
            <w:vAlign w:val="center"/>
          </w:tcPr>
          <w:p w14:paraId="2823889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auto" w:fill="FFFFFF"/>
            <w:vAlign w:val="center"/>
          </w:tcPr>
          <w:p w14:paraId="3596DBC6">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7F721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00" w:hRule="atLeast"/>
          <w:jc w:val="center"/>
        </w:trPr>
        <w:tc>
          <w:tcPr>
            <w:tcW w:w="1574" w:type="dxa"/>
            <w:vMerge w:val="continue"/>
            <w:shd w:val="clear" w:color="auto" w:fill="FFFFFF"/>
            <w:vAlign w:val="center"/>
          </w:tcPr>
          <w:p w14:paraId="18F1279C">
            <w:pPr>
              <w:widowControl/>
              <w:spacing w:line="0" w:lineRule="atLeast"/>
              <w:jc w:val="center"/>
              <w:rPr>
                <w:rFonts w:hint="default" w:ascii="Times New Roman" w:hAnsi="Times New Roman" w:eastAsia="仿宋_GB2312" w:cs="Times New Roman"/>
                <w:color w:val="000000"/>
                <w:kern w:val="0"/>
                <w:sz w:val="18"/>
                <w:szCs w:val="18"/>
              </w:rPr>
            </w:pPr>
          </w:p>
        </w:tc>
        <w:tc>
          <w:tcPr>
            <w:tcW w:w="1133" w:type="dxa"/>
            <w:vMerge w:val="continue"/>
            <w:shd w:val="clear" w:color="auto" w:fill="FFFFFF"/>
            <w:vAlign w:val="center"/>
          </w:tcPr>
          <w:p w14:paraId="0AE57520">
            <w:pPr>
              <w:widowControl/>
              <w:spacing w:line="0" w:lineRule="atLeast"/>
              <w:jc w:val="center"/>
              <w:rPr>
                <w:rFonts w:hint="default" w:ascii="Times New Roman" w:hAnsi="Times New Roman" w:eastAsia="仿宋_GB2312" w:cs="Times New Roman"/>
                <w:color w:val="000000"/>
                <w:kern w:val="0"/>
                <w:sz w:val="18"/>
                <w:szCs w:val="18"/>
              </w:rPr>
            </w:pPr>
          </w:p>
        </w:tc>
        <w:tc>
          <w:tcPr>
            <w:tcW w:w="1022" w:type="dxa"/>
            <w:shd w:val="clear" w:color="auto" w:fill="FFFFFF"/>
            <w:vAlign w:val="center"/>
          </w:tcPr>
          <w:p w14:paraId="040B57F4">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14:paraId="7910576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1642" w:type="dxa"/>
            <w:shd w:val="clear" w:color="auto" w:fill="FFFFFF"/>
            <w:vAlign w:val="center"/>
          </w:tcPr>
          <w:p w14:paraId="6E56443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5036" w:type="dxa"/>
            <w:shd w:val="clear" w:color="auto" w:fill="FFFFFF"/>
            <w:vAlign w:val="center"/>
          </w:tcPr>
          <w:p w14:paraId="2BD3735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922" w:type="dxa"/>
            <w:shd w:val="clear" w:color="auto" w:fill="FFFFFF"/>
            <w:vAlign w:val="center"/>
          </w:tcPr>
          <w:p w14:paraId="325D4AC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auto" w:fill="FFFFFF"/>
            <w:vAlign w:val="center"/>
          </w:tcPr>
          <w:p w14:paraId="6D79344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62D09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69" w:hRule="atLeast"/>
          <w:jc w:val="center"/>
        </w:trPr>
        <w:tc>
          <w:tcPr>
            <w:tcW w:w="1574" w:type="dxa"/>
            <w:vMerge w:val="restart"/>
            <w:shd w:val="clear" w:color="auto" w:fill="FFFFFF"/>
            <w:vAlign w:val="center"/>
          </w:tcPr>
          <w:p w14:paraId="75E3A581">
            <w:pPr>
              <w:spacing w:line="0" w:lineRule="atLeast"/>
              <w:jc w:val="center"/>
              <w:rPr>
                <w:rFonts w:hint="default" w:ascii="Times New Roman" w:hAnsi="Times New Roman" w:eastAsia="仿宋_GB2312" w:cs="Times New Roman"/>
                <w:color w:val="000000"/>
                <w:kern w:val="0"/>
                <w:sz w:val="18"/>
                <w:szCs w:val="18"/>
              </w:rPr>
            </w:pPr>
          </w:p>
          <w:p w14:paraId="4A3F51F4">
            <w:pPr>
              <w:spacing w:line="0" w:lineRule="atLeast"/>
              <w:jc w:val="center"/>
              <w:rPr>
                <w:rFonts w:hint="default" w:ascii="Times New Roman" w:hAnsi="Times New Roman" w:eastAsia="仿宋_GB2312" w:cs="Times New Roman"/>
                <w:color w:val="000000"/>
                <w:kern w:val="0"/>
                <w:sz w:val="18"/>
                <w:szCs w:val="18"/>
              </w:rPr>
            </w:pPr>
          </w:p>
          <w:p w14:paraId="21E3287F">
            <w:pPr>
              <w:spacing w:line="0" w:lineRule="atLeast"/>
              <w:jc w:val="center"/>
              <w:rPr>
                <w:rFonts w:hint="default" w:ascii="Times New Roman" w:hAnsi="Times New Roman" w:eastAsia="仿宋_GB2312" w:cs="Times New Roman"/>
                <w:color w:val="000000"/>
                <w:kern w:val="0"/>
                <w:sz w:val="18"/>
                <w:szCs w:val="18"/>
              </w:rPr>
            </w:pPr>
          </w:p>
          <w:p w14:paraId="0609FCF4">
            <w:pPr>
              <w:spacing w:line="0" w:lineRule="atLeast"/>
              <w:jc w:val="center"/>
              <w:rPr>
                <w:rFonts w:hint="default" w:ascii="Times New Roman" w:hAnsi="Times New Roman" w:eastAsia="仿宋_GB2312" w:cs="Times New Roman"/>
                <w:color w:val="000000"/>
                <w:kern w:val="0"/>
                <w:sz w:val="18"/>
                <w:szCs w:val="18"/>
              </w:rPr>
            </w:pPr>
          </w:p>
          <w:p w14:paraId="572BBC63">
            <w:pPr>
              <w:spacing w:line="0" w:lineRule="atLeast"/>
              <w:jc w:val="center"/>
              <w:rPr>
                <w:rFonts w:hint="default" w:ascii="Times New Roman" w:hAnsi="Times New Roman" w:eastAsia="仿宋_GB2312" w:cs="Times New Roman"/>
                <w:color w:val="000000"/>
                <w:kern w:val="0"/>
                <w:sz w:val="18"/>
                <w:szCs w:val="18"/>
              </w:rPr>
            </w:pPr>
          </w:p>
          <w:p w14:paraId="7A53B4D6">
            <w:pPr>
              <w:spacing w:line="0" w:lineRule="atLeast"/>
              <w:jc w:val="center"/>
              <w:rPr>
                <w:rFonts w:hint="default" w:ascii="Times New Roman" w:hAnsi="Times New Roman" w:eastAsia="仿宋_GB2312" w:cs="Times New Roman"/>
                <w:color w:val="000000"/>
                <w:kern w:val="0"/>
                <w:sz w:val="18"/>
                <w:szCs w:val="18"/>
              </w:rPr>
            </w:pPr>
          </w:p>
          <w:p w14:paraId="2E5D7FD1">
            <w:pPr>
              <w:spacing w:line="0" w:lineRule="atLeast"/>
              <w:jc w:val="center"/>
              <w:rPr>
                <w:rFonts w:hint="default" w:ascii="Times New Roman" w:hAnsi="Times New Roman" w:eastAsia="仿宋_GB2312" w:cs="Times New Roman"/>
                <w:color w:val="000000"/>
                <w:kern w:val="0"/>
                <w:sz w:val="18"/>
                <w:szCs w:val="18"/>
              </w:rPr>
            </w:pPr>
          </w:p>
          <w:p w14:paraId="6BC7F915">
            <w:pPr>
              <w:spacing w:line="0" w:lineRule="atLeast"/>
              <w:jc w:val="center"/>
              <w:rPr>
                <w:rFonts w:hint="default" w:ascii="Times New Roman" w:hAnsi="Times New Roman" w:eastAsia="仿宋_GB2312" w:cs="Times New Roman"/>
                <w:color w:val="000000"/>
                <w:kern w:val="0"/>
                <w:sz w:val="18"/>
                <w:szCs w:val="18"/>
              </w:rPr>
            </w:pPr>
          </w:p>
          <w:p w14:paraId="3706805F">
            <w:pPr>
              <w:spacing w:line="0" w:lineRule="atLeast"/>
              <w:jc w:val="center"/>
              <w:rPr>
                <w:rFonts w:hint="default" w:ascii="Times New Roman" w:hAnsi="Times New Roman" w:eastAsia="仿宋_GB2312" w:cs="Times New Roman"/>
                <w:color w:val="000000"/>
                <w:kern w:val="0"/>
                <w:sz w:val="18"/>
                <w:szCs w:val="18"/>
              </w:rPr>
            </w:pPr>
          </w:p>
          <w:p w14:paraId="43FF4C63">
            <w:pPr>
              <w:spacing w:line="0" w:lineRule="atLeast"/>
              <w:jc w:val="center"/>
              <w:rPr>
                <w:rFonts w:hint="default" w:ascii="Times New Roman" w:hAnsi="Times New Roman" w:eastAsia="仿宋_GB2312" w:cs="Times New Roman"/>
                <w:color w:val="000000"/>
                <w:kern w:val="0"/>
                <w:sz w:val="18"/>
                <w:szCs w:val="18"/>
              </w:rPr>
            </w:pPr>
          </w:p>
          <w:p w14:paraId="38D412A6">
            <w:pPr>
              <w:spacing w:line="0" w:lineRule="atLeast"/>
              <w:jc w:val="center"/>
              <w:rPr>
                <w:rFonts w:hint="default" w:ascii="Times New Roman" w:hAnsi="Times New Roman" w:eastAsia="仿宋_GB2312" w:cs="Times New Roman"/>
                <w:color w:val="000000"/>
                <w:kern w:val="0"/>
                <w:sz w:val="18"/>
                <w:szCs w:val="18"/>
              </w:rPr>
            </w:pPr>
          </w:p>
          <w:p w14:paraId="07056BA1">
            <w:pPr>
              <w:spacing w:line="0" w:lineRule="atLeast"/>
              <w:jc w:val="center"/>
              <w:rPr>
                <w:rFonts w:hint="default" w:ascii="Times New Roman" w:hAnsi="Times New Roman" w:eastAsia="仿宋_GB2312" w:cs="Times New Roman"/>
                <w:color w:val="000000"/>
                <w:kern w:val="0"/>
                <w:sz w:val="18"/>
                <w:szCs w:val="18"/>
              </w:rPr>
            </w:pPr>
          </w:p>
          <w:p w14:paraId="6E42886B">
            <w:pPr>
              <w:spacing w:line="0" w:lineRule="atLeast"/>
              <w:jc w:val="center"/>
              <w:rPr>
                <w:rFonts w:hint="default" w:ascii="Times New Roman" w:hAnsi="Times New Roman" w:eastAsia="仿宋_GB2312" w:cs="Times New Roman"/>
                <w:color w:val="000000"/>
                <w:kern w:val="0"/>
                <w:sz w:val="18"/>
                <w:szCs w:val="18"/>
              </w:rPr>
            </w:pPr>
          </w:p>
          <w:p w14:paraId="5E4820D3">
            <w:pPr>
              <w:spacing w:line="0" w:lineRule="atLeast"/>
              <w:jc w:val="center"/>
              <w:rPr>
                <w:rFonts w:hint="default" w:ascii="Times New Roman" w:hAnsi="Times New Roman" w:eastAsia="仿宋_GB2312" w:cs="Times New Roman"/>
                <w:color w:val="000000"/>
                <w:kern w:val="0"/>
                <w:sz w:val="18"/>
                <w:szCs w:val="18"/>
              </w:rPr>
            </w:pPr>
          </w:p>
          <w:p w14:paraId="41443CE7">
            <w:pPr>
              <w:spacing w:line="0" w:lineRule="atLeast"/>
              <w:jc w:val="center"/>
              <w:rPr>
                <w:rFonts w:hint="default" w:ascii="Times New Roman" w:hAnsi="Times New Roman" w:eastAsia="仿宋_GB2312" w:cs="Times New Roman"/>
                <w:color w:val="000000"/>
                <w:kern w:val="0"/>
                <w:sz w:val="18"/>
                <w:szCs w:val="18"/>
              </w:rPr>
            </w:pPr>
          </w:p>
          <w:p w14:paraId="134AFA76">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14:paraId="608CD67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133" w:type="dxa"/>
            <w:vMerge w:val="restart"/>
            <w:shd w:val="clear" w:color="auto" w:fill="FFFFFF"/>
            <w:vAlign w:val="center"/>
          </w:tcPr>
          <w:p w14:paraId="28E5E32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22" w:type="dxa"/>
            <w:shd w:val="clear" w:color="auto" w:fill="FFFFFF"/>
            <w:vAlign w:val="center"/>
          </w:tcPr>
          <w:p w14:paraId="4EA6645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1642" w:type="dxa"/>
            <w:shd w:val="clear" w:color="000000" w:fill="FFFFFF"/>
            <w:vAlign w:val="center"/>
          </w:tcPr>
          <w:p w14:paraId="140678AB">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5036" w:type="dxa"/>
            <w:shd w:val="clear" w:color="000000" w:fill="FFFFFF"/>
            <w:vAlign w:val="center"/>
          </w:tcPr>
          <w:p w14:paraId="0E53A46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14:paraId="731AC74A">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14:paraId="51EED97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922" w:type="dxa"/>
            <w:shd w:val="clear" w:color="000000" w:fill="FFFFFF"/>
            <w:vAlign w:val="center"/>
          </w:tcPr>
          <w:p w14:paraId="463AB72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000000" w:fill="FFFFFF"/>
            <w:vAlign w:val="center"/>
          </w:tcPr>
          <w:p w14:paraId="3A067A5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2BB8F6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79" w:hRule="atLeast"/>
          <w:jc w:val="center"/>
        </w:trPr>
        <w:tc>
          <w:tcPr>
            <w:tcW w:w="1574" w:type="dxa"/>
            <w:vMerge w:val="continue"/>
            <w:shd w:val="clear" w:color="auto" w:fill="FFFFFF"/>
            <w:vAlign w:val="center"/>
          </w:tcPr>
          <w:p w14:paraId="20BBB668">
            <w:pPr>
              <w:spacing w:line="0" w:lineRule="atLeast"/>
              <w:jc w:val="center"/>
              <w:rPr>
                <w:rFonts w:hint="default" w:ascii="Times New Roman" w:hAnsi="Times New Roman" w:eastAsia="仿宋_GB2312" w:cs="Times New Roman"/>
                <w:color w:val="000000"/>
                <w:kern w:val="0"/>
                <w:sz w:val="18"/>
                <w:szCs w:val="18"/>
              </w:rPr>
            </w:pPr>
          </w:p>
        </w:tc>
        <w:tc>
          <w:tcPr>
            <w:tcW w:w="1133" w:type="dxa"/>
            <w:vMerge w:val="continue"/>
            <w:shd w:val="clear" w:color="auto" w:fill="FFFFFF"/>
            <w:vAlign w:val="center"/>
          </w:tcPr>
          <w:p w14:paraId="7E412BF3">
            <w:pPr>
              <w:spacing w:line="0" w:lineRule="atLeast"/>
              <w:jc w:val="center"/>
              <w:rPr>
                <w:rFonts w:hint="default" w:ascii="Times New Roman" w:hAnsi="Times New Roman" w:eastAsia="仿宋_GB2312" w:cs="Times New Roman"/>
                <w:color w:val="000000"/>
                <w:kern w:val="0"/>
                <w:sz w:val="18"/>
                <w:szCs w:val="18"/>
              </w:rPr>
            </w:pPr>
          </w:p>
        </w:tc>
        <w:tc>
          <w:tcPr>
            <w:tcW w:w="1022" w:type="dxa"/>
            <w:shd w:val="clear" w:color="auto" w:fill="FFFFFF"/>
            <w:vAlign w:val="center"/>
          </w:tcPr>
          <w:p w14:paraId="4BBAB7F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1642" w:type="dxa"/>
            <w:shd w:val="clear" w:color="auto" w:fill="FFFFFF"/>
            <w:vAlign w:val="center"/>
          </w:tcPr>
          <w:p w14:paraId="0EF2F38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5036" w:type="dxa"/>
            <w:shd w:val="clear" w:color="auto" w:fill="FFFFFF"/>
            <w:vAlign w:val="center"/>
          </w:tcPr>
          <w:p w14:paraId="025EC29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922" w:type="dxa"/>
            <w:shd w:val="clear" w:color="auto" w:fill="FFFFFF"/>
            <w:vAlign w:val="center"/>
          </w:tcPr>
          <w:p w14:paraId="4CAFF3FB">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auto" w:fill="FFFFFF"/>
            <w:vAlign w:val="center"/>
          </w:tcPr>
          <w:p w14:paraId="26C1C62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7D5E13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03" w:hRule="atLeast"/>
          <w:jc w:val="center"/>
        </w:trPr>
        <w:tc>
          <w:tcPr>
            <w:tcW w:w="1574" w:type="dxa"/>
            <w:vMerge w:val="continue"/>
            <w:shd w:val="clear" w:color="auto" w:fill="FFFFFF"/>
            <w:vAlign w:val="center"/>
          </w:tcPr>
          <w:p w14:paraId="2949F9B7">
            <w:pPr>
              <w:spacing w:line="0" w:lineRule="atLeast"/>
              <w:jc w:val="center"/>
              <w:rPr>
                <w:rFonts w:hint="default" w:ascii="Times New Roman" w:hAnsi="Times New Roman" w:eastAsia="仿宋_GB2312" w:cs="Times New Roman"/>
                <w:color w:val="000000"/>
                <w:kern w:val="0"/>
                <w:sz w:val="18"/>
                <w:szCs w:val="18"/>
              </w:rPr>
            </w:pPr>
          </w:p>
        </w:tc>
        <w:tc>
          <w:tcPr>
            <w:tcW w:w="1133" w:type="dxa"/>
            <w:shd w:val="clear" w:color="auto" w:fill="FFFFFF"/>
            <w:vAlign w:val="center"/>
          </w:tcPr>
          <w:p w14:paraId="2F1146B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1022" w:type="dxa"/>
            <w:shd w:val="clear" w:color="auto" w:fill="FFFFFF"/>
            <w:vAlign w:val="center"/>
          </w:tcPr>
          <w:p w14:paraId="3983AC8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14:paraId="6C725F2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1642" w:type="dxa"/>
            <w:shd w:val="clear" w:color="000000" w:fill="FFFFFF"/>
            <w:vAlign w:val="center"/>
          </w:tcPr>
          <w:p w14:paraId="3C2715E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5036" w:type="dxa"/>
            <w:shd w:val="clear" w:color="000000" w:fill="FFFFFF"/>
            <w:vAlign w:val="center"/>
          </w:tcPr>
          <w:p w14:paraId="3F1AEF6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922" w:type="dxa"/>
            <w:shd w:val="clear" w:color="000000" w:fill="FFFFFF"/>
            <w:vAlign w:val="center"/>
          </w:tcPr>
          <w:p w14:paraId="72AB171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000000" w:fill="FFFFFF"/>
            <w:vAlign w:val="center"/>
          </w:tcPr>
          <w:p w14:paraId="627B9C7F">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37926B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34" w:hRule="atLeast"/>
          <w:jc w:val="center"/>
        </w:trPr>
        <w:tc>
          <w:tcPr>
            <w:tcW w:w="1574" w:type="dxa"/>
            <w:vMerge w:val="continue"/>
            <w:shd w:val="clear" w:color="auto" w:fill="FFFFFF"/>
            <w:vAlign w:val="center"/>
          </w:tcPr>
          <w:p w14:paraId="5B428DCB">
            <w:pPr>
              <w:spacing w:line="0" w:lineRule="atLeast"/>
              <w:jc w:val="center"/>
              <w:rPr>
                <w:rFonts w:hint="default" w:ascii="Times New Roman" w:hAnsi="Times New Roman" w:eastAsia="仿宋_GB2312" w:cs="Times New Roman"/>
                <w:color w:val="000000"/>
                <w:kern w:val="0"/>
                <w:sz w:val="18"/>
                <w:szCs w:val="18"/>
              </w:rPr>
            </w:pPr>
          </w:p>
        </w:tc>
        <w:tc>
          <w:tcPr>
            <w:tcW w:w="1133" w:type="dxa"/>
            <w:vMerge w:val="restart"/>
            <w:shd w:val="clear" w:color="auto" w:fill="FFFFFF"/>
            <w:vAlign w:val="center"/>
          </w:tcPr>
          <w:p w14:paraId="6FAC249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14:paraId="05CAABD0">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1022" w:type="dxa"/>
            <w:shd w:val="clear" w:color="auto" w:fill="FFFFFF"/>
            <w:vAlign w:val="center"/>
          </w:tcPr>
          <w:p w14:paraId="7E068CD0">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14:paraId="5D19436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1642" w:type="dxa"/>
            <w:shd w:val="clear" w:color="000000" w:fill="FFFFFF"/>
            <w:vAlign w:val="center"/>
          </w:tcPr>
          <w:p w14:paraId="6BAEFDF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5036" w:type="dxa"/>
            <w:shd w:val="clear" w:color="000000" w:fill="FFFFFF"/>
            <w:vAlign w:val="center"/>
          </w:tcPr>
          <w:p w14:paraId="16424B29">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922" w:type="dxa"/>
            <w:shd w:val="clear" w:color="000000" w:fill="FFFFFF"/>
            <w:vAlign w:val="center"/>
          </w:tcPr>
          <w:p w14:paraId="71712BB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000000" w:fill="FFFFFF"/>
            <w:vAlign w:val="center"/>
          </w:tcPr>
          <w:p w14:paraId="357BCA5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717729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7" w:hRule="atLeast"/>
          <w:jc w:val="center"/>
        </w:trPr>
        <w:tc>
          <w:tcPr>
            <w:tcW w:w="1574" w:type="dxa"/>
            <w:vMerge w:val="continue"/>
            <w:shd w:val="clear" w:color="auto" w:fill="FFFFFF"/>
            <w:vAlign w:val="center"/>
          </w:tcPr>
          <w:p w14:paraId="46DF0125">
            <w:pPr>
              <w:widowControl/>
              <w:spacing w:line="0" w:lineRule="atLeast"/>
              <w:jc w:val="center"/>
              <w:rPr>
                <w:rFonts w:hint="default" w:ascii="Times New Roman" w:hAnsi="Times New Roman" w:eastAsia="仿宋_GB2312" w:cs="Times New Roman"/>
                <w:color w:val="000000"/>
                <w:kern w:val="0"/>
                <w:sz w:val="18"/>
                <w:szCs w:val="18"/>
              </w:rPr>
            </w:pPr>
          </w:p>
        </w:tc>
        <w:tc>
          <w:tcPr>
            <w:tcW w:w="1133" w:type="dxa"/>
            <w:vMerge w:val="continue"/>
            <w:shd w:val="clear" w:color="auto" w:fill="FFFFFF"/>
            <w:vAlign w:val="center"/>
          </w:tcPr>
          <w:p w14:paraId="52393EBE">
            <w:pPr>
              <w:widowControl/>
              <w:spacing w:line="0" w:lineRule="atLeast"/>
              <w:jc w:val="center"/>
              <w:rPr>
                <w:rFonts w:hint="default" w:ascii="Times New Roman" w:hAnsi="Times New Roman" w:eastAsia="仿宋_GB2312" w:cs="Times New Roman"/>
                <w:color w:val="000000"/>
                <w:kern w:val="0"/>
                <w:sz w:val="18"/>
                <w:szCs w:val="18"/>
              </w:rPr>
            </w:pPr>
          </w:p>
        </w:tc>
        <w:tc>
          <w:tcPr>
            <w:tcW w:w="1022" w:type="dxa"/>
            <w:shd w:val="clear" w:color="auto" w:fill="FFFFFF"/>
            <w:vAlign w:val="center"/>
          </w:tcPr>
          <w:p w14:paraId="1C5FE81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14:paraId="0417A48B">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1642" w:type="dxa"/>
            <w:shd w:val="clear" w:color="000000" w:fill="FFFFFF"/>
            <w:vAlign w:val="center"/>
          </w:tcPr>
          <w:p w14:paraId="07AED3A4">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5036" w:type="dxa"/>
            <w:shd w:val="clear" w:color="000000" w:fill="FFFFFF"/>
            <w:vAlign w:val="center"/>
          </w:tcPr>
          <w:p w14:paraId="0FF2FD28">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922" w:type="dxa"/>
            <w:shd w:val="clear" w:color="000000" w:fill="FFFFFF"/>
            <w:vAlign w:val="center"/>
          </w:tcPr>
          <w:p w14:paraId="695140B9">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1314" w:type="dxa"/>
            <w:shd w:val="clear" w:color="000000" w:fill="FFFFFF"/>
            <w:vAlign w:val="center"/>
          </w:tcPr>
          <w:p w14:paraId="62C4F6B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r>
      <w:tr w14:paraId="0C2FDF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48" w:hRule="atLeast"/>
          <w:jc w:val="center"/>
        </w:trPr>
        <w:tc>
          <w:tcPr>
            <w:tcW w:w="1574" w:type="dxa"/>
            <w:vMerge w:val="restart"/>
            <w:shd w:val="clear" w:color="auto" w:fill="FFFFFF"/>
            <w:vAlign w:val="center"/>
          </w:tcPr>
          <w:p w14:paraId="30476DC8">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1133" w:type="dxa"/>
            <w:shd w:val="clear" w:color="auto" w:fill="FFFFFF"/>
            <w:vAlign w:val="center"/>
          </w:tcPr>
          <w:p w14:paraId="56E07E4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1022" w:type="dxa"/>
            <w:shd w:val="clear" w:color="auto" w:fill="FFFFFF"/>
            <w:vAlign w:val="center"/>
          </w:tcPr>
          <w:p w14:paraId="0EDFDAB3">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1642" w:type="dxa"/>
            <w:shd w:val="clear" w:color="000000" w:fill="FFFFFF"/>
            <w:vAlign w:val="center"/>
          </w:tcPr>
          <w:p w14:paraId="0E1F2016">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5036" w:type="dxa"/>
            <w:shd w:val="clear" w:color="000000" w:fill="FFFFFF"/>
            <w:vAlign w:val="center"/>
          </w:tcPr>
          <w:p w14:paraId="068AD6B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922" w:type="dxa"/>
            <w:shd w:val="clear" w:color="000000" w:fill="FFFFFF"/>
            <w:vAlign w:val="center"/>
          </w:tcPr>
          <w:p w14:paraId="71D79CC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14" w:type="dxa"/>
            <w:shd w:val="clear" w:color="000000" w:fill="FFFFFF"/>
            <w:vAlign w:val="center"/>
          </w:tcPr>
          <w:p w14:paraId="19C75AFA">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6C193F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58" w:hRule="atLeast"/>
          <w:jc w:val="center"/>
        </w:trPr>
        <w:tc>
          <w:tcPr>
            <w:tcW w:w="1574" w:type="dxa"/>
            <w:vMerge w:val="continue"/>
            <w:shd w:val="clear" w:color="auto" w:fill="FFFFFF"/>
            <w:vAlign w:val="center"/>
          </w:tcPr>
          <w:p w14:paraId="7F0723E5">
            <w:pPr>
              <w:widowControl/>
              <w:spacing w:line="0" w:lineRule="atLeast"/>
              <w:jc w:val="center"/>
              <w:rPr>
                <w:rFonts w:hint="default" w:ascii="Times New Roman" w:hAnsi="Times New Roman" w:eastAsia="仿宋_GB2312" w:cs="Times New Roman"/>
                <w:color w:val="000000"/>
                <w:kern w:val="0"/>
                <w:sz w:val="18"/>
                <w:szCs w:val="18"/>
              </w:rPr>
            </w:pPr>
          </w:p>
        </w:tc>
        <w:tc>
          <w:tcPr>
            <w:tcW w:w="1133" w:type="dxa"/>
            <w:shd w:val="clear" w:color="auto" w:fill="FFFFFF"/>
            <w:vAlign w:val="center"/>
          </w:tcPr>
          <w:p w14:paraId="6059BC6E">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1022" w:type="dxa"/>
            <w:shd w:val="clear" w:color="auto" w:fill="FFFFFF"/>
            <w:vAlign w:val="center"/>
          </w:tcPr>
          <w:p w14:paraId="2A816F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1642" w:type="dxa"/>
            <w:shd w:val="clear" w:color="000000" w:fill="FFFFFF"/>
            <w:vAlign w:val="center"/>
          </w:tcPr>
          <w:p w14:paraId="0269FAB0">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5036" w:type="dxa"/>
            <w:shd w:val="clear" w:color="000000" w:fill="FFFFFF"/>
            <w:vAlign w:val="center"/>
          </w:tcPr>
          <w:p w14:paraId="1511FF67">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14:paraId="561A45A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22" w:type="dxa"/>
            <w:shd w:val="clear" w:color="000000" w:fill="FFFFFF"/>
            <w:vAlign w:val="center"/>
          </w:tcPr>
          <w:p w14:paraId="7B1D735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14" w:type="dxa"/>
            <w:shd w:val="clear" w:color="000000" w:fill="FFFFFF"/>
            <w:vAlign w:val="center"/>
          </w:tcPr>
          <w:p w14:paraId="7AF715B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1B7B13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56" w:hRule="atLeast"/>
          <w:jc w:val="center"/>
        </w:trPr>
        <w:tc>
          <w:tcPr>
            <w:tcW w:w="1574" w:type="dxa"/>
            <w:vMerge w:val="continue"/>
            <w:shd w:val="clear" w:color="auto" w:fill="FFFFFF"/>
            <w:vAlign w:val="center"/>
          </w:tcPr>
          <w:p w14:paraId="553A5EC7">
            <w:pPr>
              <w:spacing w:line="0" w:lineRule="atLeast"/>
              <w:jc w:val="center"/>
              <w:rPr>
                <w:rFonts w:hint="default" w:ascii="Times New Roman" w:hAnsi="Times New Roman" w:eastAsia="仿宋_GB2312" w:cs="Times New Roman"/>
                <w:color w:val="000000"/>
                <w:kern w:val="0"/>
                <w:sz w:val="18"/>
                <w:szCs w:val="18"/>
              </w:rPr>
            </w:pPr>
          </w:p>
        </w:tc>
        <w:tc>
          <w:tcPr>
            <w:tcW w:w="1133" w:type="dxa"/>
            <w:shd w:val="clear" w:color="auto" w:fill="FFFFFF"/>
            <w:vAlign w:val="center"/>
          </w:tcPr>
          <w:p w14:paraId="46FD7F9E">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1022" w:type="dxa"/>
            <w:shd w:val="clear" w:color="auto" w:fill="FFFFFF"/>
            <w:vAlign w:val="center"/>
          </w:tcPr>
          <w:p w14:paraId="2CF3B966">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1642" w:type="dxa"/>
            <w:shd w:val="clear" w:color="000000" w:fill="FFFFFF"/>
            <w:vAlign w:val="center"/>
          </w:tcPr>
          <w:p w14:paraId="2575402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5036" w:type="dxa"/>
            <w:shd w:val="clear" w:color="000000" w:fill="FFFFFF"/>
            <w:vAlign w:val="center"/>
          </w:tcPr>
          <w:p w14:paraId="0FFFAEB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922" w:type="dxa"/>
            <w:shd w:val="clear" w:color="000000" w:fill="FFFFFF"/>
            <w:vAlign w:val="center"/>
          </w:tcPr>
          <w:p w14:paraId="38263283">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14" w:type="dxa"/>
            <w:shd w:val="clear" w:color="000000" w:fill="FFFFFF"/>
            <w:vAlign w:val="center"/>
          </w:tcPr>
          <w:p w14:paraId="0F72478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72B36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02" w:hRule="atLeast"/>
          <w:jc w:val="center"/>
        </w:trPr>
        <w:tc>
          <w:tcPr>
            <w:tcW w:w="1574" w:type="dxa"/>
            <w:vMerge w:val="continue"/>
            <w:shd w:val="clear" w:color="auto" w:fill="FFFFFF"/>
            <w:vAlign w:val="center"/>
          </w:tcPr>
          <w:p w14:paraId="2762C6DC">
            <w:pPr>
              <w:widowControl/>
              <w:spacing w:line="0" w:lineRule="atLeast"/>
              <w:jc w:val="center"/>
              <w:rPr>
                <w:rFonts w:hint="default" w:ascii="Times New Roman" w:hAnsi="Times New Roman" w:eastAsia="仿宋_GB2312" w:cs="Times New Roman"/>
                <w:color w:val="000000"/>
                <w:kern w:val="0"/>
                <w:sz w:val="18"/>
                <w:szCs w:val="18"/>
              </w:rPr>
            </w:pPr>
          </w:p>
        </w:tc>
        <w:tc>
          <w:tcPr>
            <w:tcW w:w="1133" w:type="dxa"/>
            <w:shd w:val="clear" w:color="auto" w:fill="FFFFFF"/>
            <w:vAlign w:val="center"/>
          </w:tcPr>
          <w:p w14:paraId="018E0385">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1022" w:type="dxa"/>
            <w:shd w:val="clear" w:color="auto" w:fill="FFFFFF"/>
            <w:vAlign w:val="center"/>
          </w:tcPr>
          <w:p w14:paraId="39403FF7">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1642" w:type="dxa"/>
            <w:shd w:val="clear" w:color="000000" w:fill="FFFFFF"/>
            <w:vAlign w:val="center"/>
          </w:tcPr>
          <w:p w14:paraId="5478E04E">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5036" w:type="dxa"/>
            <w:shd w:val="clear" w:color="000000" w:fill="FFFFFF"/>
            <w:vAlign w:val="center"/>
          </w:tcPr>
          <w:p w14:paraId="15FF071D">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922" w:type="dxa"/>
            <w:shd w:val="clear" w:color="000000" w:fill="FFFFFF"/>
            <w:vAlign w:val="center"/>
          </w:tcPr>
          <w:p w14:paraId="1DA438E7">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14" w:type="dxa"/>
            <w:shd w:val="clear" w:color="000000" w:fill="FFFFFF"/>
            <w:vAlign w:val="center"/>
          </w:tcPr>
          <w:p w14:paraId="125E4CE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72D347A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68" w:hRule="atLeast"/>
          <w:jc w:val="center"/>
        </w:trPr>
        <w:tc>
          <w:tcPr>
            <w:tcW w:w="1574" w:type="dxa"/>
            <w:vMerge w:val="restart"/>
            <w:shd w:val="clear" w:color="auto" w:fill="FFFFFF"/>
            <w:vAlign w:val="center"/>
          </w:tcPr>
          <w:p w14:paraId="79406F22">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1133" w:type="dxa"/>
            <w:vMerge w:val="restart"/>
            <w:shd w:val="clear" w:color="auto" w:fill="FFFFFF"/>
            <w:vAlign w:val="center"/>
          </w:tcPr>
          <w:p w14:paraId="084273A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1022" w:type="dxa"/>
            <w:shd w:val="clear" w:color="auto" w:fill="FFFFFF"/>
            <w:vAlign w:val="center"/>
          </w:tcPr>
          <w:p w14:paraId="1C55C8AC">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1642" w:type="dxa"/>
            <w:shd w:val="clear" w:color="auto" w:fill="FFFFFF"/>
            <w:vAlign w:val="center"/>
          </w:tcPr>
          <w:p w14:paraId="70D64214">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5036" w:type="dxa"/>
            <w:shd w:val="clear" w:color="auto" w:fill="FFFFFF"/>
            <w:vAlign w:val="center"/>
          </w:tcPr>
          <w:p w14:paraId="773E782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922" w:type="dxa"/>
            <w:shd w:val="clear" w:color="auto" w:fill="FFFFFF"/>
            <w:vAlign w:val="center"/>
          </w:tcPr>
          <w:p w14:paraId="308DC4F8">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14" w:type="dxa"/>
            <w:shd w:val="clear" w:color="auto" w:fill="FFFFFF"/>
            <w:vAlign w:val="center"/>
          </w:tcPr>
          <w:p w14:paraId="37BDD005">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r w14:paraId="327EE7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3" w:hRule="atLeast"/>
          <w:jc w:val="center"/>
        </w:trPr>
        <w:tc>
          <w:tcPr>
            <w:tcW w:w="1574" w:type="dxa"/>
            <w:vMerge w:val="continue"/>
            <w:shd w:val="clear" w:color="auto" w:fill="FFFFFF"/>
            <w:vAlign w:val="center"/>
          </w:tcPr>
          <w:p w14:paraId="10FF9AF8">
            <w:pPr>
              <w:widowControl/>
              <w:spacing w:line="0" w:lineRule="atLeast"/>
              <w:jc w:val="center"/>
              <w:rPr>
                <w:rFonts w:hint="default" w:ascii="Times New Roman" w:hAnsi="Times New Roman" w:eastAsia="仿宋_GB2312" w:cs="Times New Roman"/>
                <w:color w:val="000000"/>
                <w:kern w:val="0"/>
                <w:sz w:val="18"/>
                <w:szCs w:val="18"/>
              </w:rPr>
            </w:pPr>
          </w:p>
        </w:tc>
        <w:tc>
          <w:tcPr>
            <w:tcW w:w="1133" w:type="dxa"/>
            <w:vMerge w:val="continue"/>
            <w:shd w:val="clear" w:color="auto" w:fill="FFFFFF"/>
            <w:vAlign w:val="center"/>
          </w:tcPr>
          <w:p w14:paraId="6C80DB42">
            <w:pPr>
              <w:widowControl/>
              <w:spacing w:line="0" w:lineRule="atLeast"/>
              <w:jc w:val="center"/>
              <w:rPr>
                <w:rFonts w:hint="default" w:ascii="Times New Roman" w:hAnsi="Times New Roman" w:eastAsia="仿宋_GB2312" w:cs="Times New Roman"/>
                <w:color w:val="000000"/>
                <w:kern w:val="0"/>
                <w:sz w:val="18"/>
                <w:szCs w:val="18"/>
              </w:rPr>
            </w:pPr>
          </w:p>
        </w:tc>
        <w:tc>
          <w:tcPr>
            <w:tcW w:w="1022" w:type="dxa"/>
            <w:shd w:val="clear" w:color="auto" w:fill="FFFFFF"/>
            <w:vAlign w:val="center"/>
          </w:tcPr>
          <w:p w14:paraId="3567A541">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1642" w:type="dxa"/>
            <w:shd w:val="clear" w:color="000000" w:fill="FFFFFF"/>
            <w:vAlign w:val="center"/>
          </w:tcPr>
          <w:p w14:paraId="113F3BE2">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5036" w:type="dxa"/>
            <w:shd w:val="clear" w:color="000000" w:fill="FFFFFF"/>
            <w:vAlign w:val="center"/>
          </w:tcPr>
          <w:p w14:paraId="0DF9E39F">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922" w:type="dxa"/>
            <w:shd w:val="clear" w:color="000000" w:fill="FFFFFF"/>
            <w:vAlign w:val="center"/>
          </w:tcPr>
          <w:p w14:paraId="2E50F664">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1314" w:type="dxa"/>
            <w:shd w:val="clear" w:color="000000" w:fill="FFFFFF"/>
            <w:vAlign w:val="center"/>
          </w:tcPr>
          <w:p w14:paraId="6DE4AA30">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r>
    </w:tbl>
    <w:p w14:paraId="48F14D1A">
      <w:pPr>
        <w:pStyle w:val="9"/>
        <w:ind w:left="0" w:leftChars="0" w:firstLine="0" w:firstLineChars="0"/>
        <w:rPr>
          <w:rFonts w:hint="default"/>
          <w:lang w:val="en-US" w:eastAsia="zh-CN"/>
        </w:rPr>
      </w:pPr>
    </w:p>
    <w:p w14:paraId="794A1FE9">
      <w:pPr>
        <w:pStyle w:val="9"/>
        <w:ind w:left="0" w:leftChars="0" w:firstLine="0" w:firstLineChars="0"/>
        <w:rPr>
          <w:rFonts w:hint="default"/>
          <w:lang w:val="en-US" w:eastAsia="zh-CN"/>
        </w:rPr>
      </w:pPr>
    </w:p>
    <w:tbl>
      <w:tblPr>
        <w:tblW w:w="5061" w:type="pct"/>
        <w:tblInd w:w="-18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674"/>
        <w:gridCol w:w="964"/>
        <w:gridCol w:w="1070"/>
        <w:gridCol w:w="1515"/>
        <w:gridCol w:w="740"/>
        <w:gridCol w:w="843"/>
        <w:gridCol w:w="1111"/>
        <w:gridCol w:w="1070"/>
        <w:gridCol w:w="1085"/>
        <w:gridCol w:w="1070"/>
        <w:gridCol w:w="917"/>
        <w:gridCol w:w="1836"/>
        <w:gridCol w:w="961"/>
        <w:gridCol w:w="881"/>
      </w:tblGrid>
      <w:tr w14:paraId="726F9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vAlign w:val="center"/>
          </w:tcPr>
          <w:p w14:paraId="69869F8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4F082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3F55F6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3B8D4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56" w:type="pct"/>
            <w:gridSpan w:val="2"/>
            <w:tcBorders>
              <w:top w:val="single" w:color="000000" w:sz="4" w:space="0"/>
              <w:left w:val="single" w:color="000000" w:sz="4" w:space="0"/>
              <w:bottom w:val="single" w:color="000000" w:sz="4" w:space="0"/>
              <w:right w:val="single" w:color="000000" w:sz="4" w:space="0"/>
            </w:tcBorders>
            <w:shd w:val="clear"/>
            <w:vAlign w:val="center"/>
          </w:tcPr>
          <w:p w14:paraId="43B2F29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443" w:type="pct"/>
            <w:gridSpan w:val="12"/>
            <w:tcBorders>
              <w:top w:val="single" w:color="000000" w:sz="4" w:space="0"/>
              <w:left w:val="single" w:color="000000" w:sz="4" w:space="0"/>
              <w:bottom w:val="single" w:color="000000" w:sz="4" w:space="0"/>
              <w:right w:val="single" w:color="000000" w:sz="4" w:space="0"/>
            </w:tcBorders>
            <w:shd w:val="clear"/>
            <w:vAlign w:val="center"/>
          </w:tcPr>
          <w:p w14:paraId="5063C3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博州监测中心业务楼维修维护项目</w:t>
            </w:r>
          </w:p>
        </w:tc>
      </w:tr>
      <w:tr w14:paraId="0FDEC3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56" w:type="pct"/>
            <w:gridSpan w:val="2"/>
            <w:tcBorders>
              <w:top w:val="single" w:color="000000" w:sz="4" w:space="0"/>
              <w:left w:val="single" w:color="000000" w:sz="4" w:space="0"/>
              <w:bottom w:val="single" w:color="000000" w:sz="4" w:space="0"/>
              <w:right w:val="single" w:color="000000" w:sz="4" w:space="0"/>
            </w:tcBorders>
            <w:shd w:val="clear"/>
            <w:vAlign w:val="center"/>
          </w:tcPr>
          <w:p w14:paraId="40DD75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791" w:type="pct"/>
            <w:gridSpan w:val="5"/>
            <w:tcBorders>
              <w:top w:val="single" w:color="000000" w:sz="4" w:space="0"/>
              <w:left w:val="single" w:color="000000" w:sz="4" w:space="0"/>
              <w:bottom w:val="single" w:color="000000" w:sz="4" w:space="0"/>
              <w:right w:val="single" w:color="000000" w:sz="4" w:space="0"/>
            </w:tcBorders>
            <w:shd w:val="clear"/>
            <w:vAlign w:val="center"/>
          </w:tcPr>
          <w:p w14:paraId="0BFB13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博尔塔拉蒙古自治州无线电管理局</w:t>
            </w:r>
          </w:p>
        </w:tc>
        <w:tc>
          <w:tcPr>
            <w:tcW w:w="731" w:type="pct"/>
            <w:gridSpan w:val="2"/>
            <w:tcBorders>
              <w:top w:val="single" w:color="000000" w:sz="4" w:space="0"/>
              <w:left w:val="single" w:color="000000" w:sz="4" w:space="0"/>
              <w:bottom w:val="single" w:color="000000" w:sz="4" w:space="0"/>
              <w:right w:val="single" w:color="000000" w:sz="4" w:space="0"/>
            </w:tcBorders>
            <w:shd w:val="clear"/>
            <w:vAlign w:val="center"/>
          </w:tcPr>
          <w:p w14:paraId="0C95D06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1921" w:type="pct"/>
            <w:gridSpan w:val="5"/>
            <w:tcBorders>
              <w:top w:val="single" w:color="000000" w:sz="4" w:space="0"/>
              <w:left w:val="single" w:color="000000" w:sz="4" w:space="0"/>
              <w:bottom w:val="single" w:color="000000" w:sz="4" w:space="0"/>
              <w:right w:val="single" w:color="000000" w:sz="4" w:space="0"/>
            </w:tcBorders>
            <w:shd w:val="clear"/>
            <w:vAlign w:val="center"/>
          </w:tcPr>
          <w:p w14:paraId="171D2B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博尔塔拉蒙古自治州无线电管理局</w:t>
            </w:r>
          </w:p>
        </w:tc>
      </w:tr>
      <w:tr w14:paraId="7B91B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56"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1FFCDB6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877" w:type="pct"/>
            <w:gridSpan w:val="2"/>
            <w:tcBorders>
              <w:top w:val="single" w:color="000000" w:sz="4" w:space="0"/>
              <w:left w:val="single" w:color="000000" w:sz="4" w:space="0"/>
              <w:bottom w:val="single" w:color="000000" w:sz="4" w:space="0"/>
              <w:right w:val="single" w:color="000000" w:sz="4" w:space="0"/>
            </w:tcBorders>
            <w:shd w:val="clear"/>
            <w:vAlign w:val="center"/>
          </w:tcPr>
          <w:p w14:paraId="4747FF48">
            <w:pPr>
              <w:jc w:val="center"/>
              <w:rPr>
                <w:rFonts w:hint="eastAsia" w:ascii="宋体" w:hAnsi="宋体" w:eastAsia="宋体" w:cs="宋体"/>
                <w:b/>
                <w:bCs/>
                <w:i w:val="0"/>
                <w:iCs w:val="0"/>
                <w:color w:val="000000"/>
                <w:sz w:val="18"/>
                <w:szCs w:val="18"/>
                <w:u w:val="none"/>
              </w:rPr>
            </w:pP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5A0951D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14:paraId="3C5F027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731" w:type="pct"/>
            <w:gridSpan w:val="2"/>
            <w:tcBorders>
              <w:top w:val="single" w:color="000000" w:sz="4" w:space="0"/>
              <w:left w:val="single" w:color="000000" w:sz="4" w:space="0"/>
              <w:bottom w:val="single" w:color="000000" w:sz="4" w:space="0"/>
              <w:right w:val="single" w:color="000000" w:sz="4" w:space="0"/>
            </w:tcBorders>
            <w:shd w:val="clear"/>
            <w:vAlign w:val="center"/>
          </w:tcPr>
          <w:p w14:paraId="2BC1F1E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674" w:type="pct"/>
            <w:gridSpan w:val="2"/>
            <w:tcBorders>
              <w:top w:val="single" w:color="000000" w:sz="4" w:space="0"/>
              <w:left w:val="single" w:color="000000" w:sz="4" w:space="0"/>
              <w:bottom w:val="single" w:color="000000" w:sz="4" w:space="0"/>
              <w:right w:val="single" w:color="000000" w:sz="4" w:space="0"/>
            </w:tcBorders>
            <w:shd w:val="clear"/>
            <w:vAlign w:val="center"/>
          </w:tcPr>
          <w:p w14:paraId="1C03370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949" w:type="pct"/>
            <w:gridSpan w:val="2"/>
            <w:tcBorders>
              <w:top w:val="single" w:color="000000" w:sz="4" w:space="0"/>
              <w:left w:val="single" w:color="000000" w:sz="4" w:space="0"/>
              <w:bottom w:val="single" w:color="000000" w:sz="4" w:space="0"/>
              <w:right w:val="single" w:color="000000" w:sz="4" w:space="0"/>
            </w:tcBorders>
            <w:shd w:val="clear"/>
            <w:vAlign w:val="center"/>
          </w:tcPr>
          <w:p w14:paraId="643766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18E65A3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4A148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FDC4A41">
            <w:pPr>
              <w:jc w:val="center"/>
              <w:rPr>
                <w:rFonts w:hint="eastAsia" w:ascii="宋体" w:hAnsi="宋体" w:eastAsia="宋体" w:cs="宋体"/>
                <w:b/>
                <w:bCs/>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shd w:val="clear"/>
            <w:vAlign w:val="center"/>
          </w:tcPr>
          <w:p w14:paraId="6C6DE87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1A7A8F2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14:paraId="0878DCF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w:t>
            </w:r>
          </w:p>
        </w:tc>
        <w:tc>
          <w:tcPr>
            <w:tcW w:w="731" w:type="pct"/>
            <w:gridSpan w:val="2"/>
            <w:tcBorders>
              <w:top w:val="single" w:color="000000" w:sz="4" w:space="0"/>
              <w:left w:val="single" w:color="000000" w:sz="4" w:space="0"/>
              <w:bottom w:val="single" w:color="000000" w:sz="4" w:space="0"/>
              <w:right w:val="single" w:color="000000" w:sz="4" w:space="0"/>
            </w:tcBorders>
            <w:shd w:val="clear"/>
            <w:vAlign w:val="center"/>
          </w:tcPr>
          <w:p w14:paraId="3FFD6B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w:t>
            </w:r>
          </w:p>
        </w:tc>
        <w:tc>
          <w:tcPr>
            <w:tcW w:w="674" w:type="pct"/>
            <w:gridSpan w:val="2"/>
            <w:tcBorders>
              <w:top w:val="single" w:color="000000" w:sz="4" w:space="0"/>
              <w:left w:val="single" w:color="000000" w:sz="4" w:space="0"/>
              <w:bottom w:val="single" w:color="000000" w:sz="4" w:space="0"/>
              <w:right w:val="single" w:color="000000" w:sz="4" w:space="0"/>
            </w:tcBorders>
            <w:shd w:val="clear"/>
            <w:vAlign w:val="center"/>
          </w:tcPr>
          <w:p w14:paraId="45CC4D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949" w:type="pct"/>
            <w:gridSpan w:val="2"/>
            <w:tcBorders>
              <w:top w:val="single" w:color="000000" w:sz="4" w:space="0"/>
              <w:left w:val="single" w:color="000000" w:sz="4" w:space="0"/>
              <w:bottom w:val="single" w:color="000000" w:sz="4" w:space="0"/>
              <w:right w:val="single" w:color="000000" w:sz="4" w:space="0"/>
            </w:tcBorders>
            <w:shd w:val="clear"/>
            <w:vAlign w:val="center"/>
          </w:tcPr>
          <w:p w14:paraId="494ACE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3003B4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10.00分</w:t>
            </w:r>
          </w:p>
        </w:tc>
      </w:tr>
      <w:tr w14:paraId="745A45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5AE2766A">
            <w:pPr>
              <w:jc w:val="center"/>
              <w:rPr>
                <w:rFonts w:hint="eastAsia" w:ascii="宋体" w:hAnsi="宋体" w:eastAsia="宋体" w:cs="宋体"/>
                <w:b/>
                <w:bCs/>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shd w:val="clear"/>
            <w:vAlign w:val="center"/>
          </w:tcPr>
          <w:p w14:paraId="6ADA1C1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2D49E1A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14:paraId="0A006A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731" w:type="pct"/>
            <w:gridSpan w:val="2"/>
            <w:tcBorders>
              <w:top w:val="single" w:color="000000" w:sz="4" w:space="0"/>
              <w:left w:val="single" w:color="000000" w:sz="4" w:space="0"/>
              <w:bottom w:val="single" w:color="000000" w:sz="4" w:space="0"/>
              <w:right w:val="single" w:color="000000" w:sz="4" w:space="0"/>
            </w:tcBorders>
            <w:shd w:val="clear"/>
            <w:vAlign w:val="center"/>
          </w:tcPr>
          <w:p w14:paraId="5516C4B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74" w:type="pct"/>
            <w:gridSpan w:val="2"/>
            <w:tcBorders>
              <w:top w:val="single" w:color="000000" w:sz="4" w:space="0"/>
              <w:left w:val="single" w:color="000000" w:sz="4" w:space="0"/>
              <w:bottom w:val="single" w:color="000000" w:sz="4" w:space="0"/>
              <w:right w:val="single" w:color="000000" w:sz="4" w:space="0"/>
            </w:tcBorders>
            <w:shd w:val="clear"/>
            <w:vAlign w:val="center"/>
          </w:tcPr>
          <w:p w14:paraId="3BDBE6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49" w:type="pct"/>
            <w:gridSpan w:val="2"/>
            <w:tcBorders>
              <w:top w:val="single" w:color="000000" w:sz="4" w:space="0"/>
              <w:left w:val="single" w:color="000000" w:sz="4" w:space="0"/>
              <w:bottom w:val="single" w:color="000000" w:sz="4" w:space="0"/>
              <w:right w:val="single" w:color="000000" w:sz="4" w:space="0"/>
            </w:tcBorders>
            <w:shd w:val="clear"/>
            <w:vAlign w:val="center"/>
          </w:tcPr>
          <w:p w14:paraId="654803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4B51557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4A0C2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56"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351AC42D">
            <w:pPr>
              <w:jc w:val="center"/>
              <w:rPr>
                <w:rFonts w:hint="eastAsia" w:ascii="宋体" w:hAnsi="宋体" w:eastAsia="宋体" w:cs="宋体"/>
                <w:b/>
                <w:bCs/>
                <w:i w:val="0"/>
                <w:iCs w:val="0"/>
                <w:color w:val="000000"/>
                <w:sz w:val="18"/>
                <w:szCs w:val="18"/>
                <w:u w:val="none"/>
              </w:rPr>
            </w:pPr>
          </w:p>
        </w:tc>
        <w:tc>
          <w:tcPr>
            <w:tcW w:w="877" w:type="pct"/>
            <w:gridSpan w:val="2"/>
            <w:tcBorders>
              <w:top w:val="single" w:color="000000" w:sz="4" w:space="0"/>
              <w:left w:val="single" w:color="000000" w:sz="4" w:space="0"/>
              <w:bottom w:val="single" w:color="000000" w:sz="4" w:space="0"/>
              <w:right w:val="single" w:color="000000" w:sz="4" w:space="0"/>
            </w:tcBorders>
            <w:shd w:val="clear"/>
            <w:vAlign w:val="center"/>
          </w:tcPr>
          <w:p w14:paraId="3F006F1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63A973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w:t>
            </w:r>
          </w:p>
        </w:tc>
        <w:tc>
          <w:tcPr>
            <w:tcW w:w="662" w:type="pct"/>
            <w:gridSpan w:val="2"/>
            <w:tcBorders>
              <w:top w:val="single" w:color="000000" w:sz="4" w:space="0"/>
              <w:left w:val="single" w:color="000000" w:sz="4" w:space="0"/>
              <w:bottom w:val="single" w:color="000000" w:sz="4" w:space="0"/>
              <w:right w:val="single" w:color="000000" w:sz="4" w:space="0"/>
            </w:tcBorders>
            <w:shd w:val="clear"/>
            <w:vAlign w:val="center"/>
          </w:tcPr>
          <w:p w14:paraId="35C98B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w:t>
            </w:r>
          </w:p>
        </w:tc>
        <w:tc>
          <w:tcPr>
            <w:tcW w:w="731" w:type="pct"/>
            <w:gridSpan w:val="2"/>
            <w:tcBorders>
              <w:top w:val="single" w:color="000000" w:sz="4" w:space="0"/>
              <w:left w:val="single" w:color="000000" w:sz="4" w:space="0"/>
              <w:bottom w:val="single" w:color="000000" w:sz="4" w:space="0"/>
              <w:right w:val="single" w:color="000000" w:sz="4" w:space="0"/>
            </w:tcBorders>
            <w:shd w:val="clear"/>
            <w:vAlign w:val="center"/>
          </w:tcPr>
          <w:p w14:paraId="4CA3F9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w:t>
            </w:r>
          </w:p>
        </w:tc>
        <w:tc>
          <w:tcPr>
            <w:tcW w:w="674" w:type="pct"/>
            <w:gridSpan w:val="2"/>
            <w:tcBorders>
              <w:top w:val="single" w:color="000000" w:sz="4" w:space="0"/>
              <w:left w:val="single" w:color="000000" w:sz="4" w:space="0"/>
              <w:bottom w:val="single" w:color="000000" w:sz="4" w:space="0"/>
              <w:right w:val="single" w:color="000000" w:sz="4" w:space="0"/>
            </w:tcBorders>
            <w:shd w:val="clear"/>
            <w:vAlign w:val="center"/>
          </w:tcPr>
          <w:p w14:paraId="5DD9DE9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949" w:type="pct"/>
            <w:gridSpan w:val="2"/>
            <w:tcBorders>
              <w:top w:val="single" w:color="000000" w:sz="4" w:space="0"/>
              <w:left w:val="single" w:color="000000" w:sz="4" w:space="0"/>
              <w:bottom w:val="single" w:color="000000" w:sz="4" w:space="0"/>
              <w:right w:val="single" w:color="000000" w:sz="4" w:space="0"/>
            </w:tcBorders>
            <w:shd w:val="clear"/>
            <w:vAlign w:val="center"/>
          </w:tcPr>
          <w:p w14:paraId="663E18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61B96D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16D42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3E8B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2118" w:type="pct"/>
            <w:gridSpan w:val="6"/>
            <w:tcBorders>
              <w:top w:val="single" w:color="000000" w:sz="4" w:space="0"/>
              <w:left w:val="single" w:color="000000" w:sz="4" w:space="0"/>
              <w:bottom w:val="single" w:color="000000" w:sz="4" w:space="0"/>
              <w:right w:val="single" w:color="000000" w:sz="4" w:space="0"/>
            </w:tcBorders>
            <w:shd w:val="clear"/>
            <w:vAlign w:val="center"/>
          </w:tcPr>
          <w:p w14:paraId="3A26540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652" w:type="pct"/>
            <w:gridSpan w:val="7"/>
            <w:tcBorders>
              <w:top w:val="single" w:color="000000" w:sz="4" w:space="0"/>
              <w:left w:val="single" w:color="000000" w:sz="4" w:space="0"/>
              <w:bottom w:val="single" w:color="000000" w:sz="4" w:space="0"/>
              <w:right w:val="single" w:color="000000" w:sz="4" w:space="0"/>
            </w:tcBorders>
            <w:shd w:val="clear"/>
            <w:vAlign w:val="center"/>
          </w:tcPr>
          <w:p w14:paraId="5661002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32F4E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BB9894F">
            <w:pPr>
              <w:jc w:val="center"/>
              <w:rPr>
                <w:rFonts w:hint="eastAsia" w:ascii="宋体" w:hAnsi="宋体" w:eastAsia="宋体" w:cs="宋体"/>
                <w:b/>
                <w:bCs/>
                <w:i w:val="0"/>
                <w:iCs w:val="0"/>
                <w:color w:val="000000"/>
                <w:sz w:val="18"/>
                <w:szCs w:val="18"/>
                <w:u w:val="none"/>
              </w:rPr>
            </w:pPr>
          </w:p>
        </w:tc>
        <w:tc>
          <w:tcPr>
            <w:tcW w:w="2118" w:type="pct"/>
            <w:gridSpan w:val="6"/>
            <w:tcBorders>
              <w:top w:val="single" w:color="000000" w:sz="4" w:space="0"/>
              <w:left w:val="single" w:color="000000" w:sz="4" w:space="0"/>
              <w:bottom w:val="single" w:color="000000" w:sz="4" w:space="0"/>
              <w:right w:val="single" w:color="000000" w:sz="4" w:space="0"/>
            </w:tcBorders>
            <w:shd w:val="clear"/>
            <w:vAlign w:val="center"/>
          </w:tcPr>
          <w:p w14:paraId="5EDF3B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对本单位业务楼消防设备设施及水电暖基础硬件设施进行改造，对水暖管道等设施已经出现不同程度的跑、冒、滴、漏的具体部件进行更换，对存在安全隐患的电路进行改造，切实完成业务楼房屋的水电暖基础硬件设施的修护全面落实安全责任制，提高公共硬件设施的安全系数，以便更好完成无线电管理工作任务。</w:t>
            </w:r>
          </w:p>
        </w:tc>
        <w:tc>
          <w:tcPr>
            <w:tcW w:w="2652" w:type="pct"/>
            <w:gridSpan w:val="7"/>
            <w:tcBorders>
              <w:top w:val="single" w:color="000000" w:sz="4" w:space="0"/>
              <w:left w:val="single" w:color="000000" w:sz="4" w:space="0"/>
              <w:bottom w:val="single" w:color="000000" w:sz="4" w:space="0"/>
              <w:right w:val="single" w:color="000000" w:sz="4" w:space="0"/>
            </w:tcBorders>
            <w:shd w:val="clear"/>
            <w:vAlign w:val="center"/>
          </w:tcPr>
          <w:p w14:paraId="7A2FE5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2024年完成对本单位业务楼消防设备设施及水电暖基础硬件设施进行改造，对水暖管道等设施已经出现不同程度的跑、冒、滴、漏的具体部件进行更换，对存在安全隐患的电路进行改造，切实完成业务楼房屋的水电暖基础硬件设施的修护全面落实安全责任制，提高公共硬件设施的安全系数。</w:t>
            </w:r>
          </w:p>
        </w:tc>
      </w:tr>
      <w:tr w14:paraId="2FDD5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C7EF80">
            <w:pPr>
              <w:jc w:val="center"/>
              <w:rPr>
                <w:rFonts w:hint="eastAsia" w:ascii="宋体" w:hAnsi="宋体" w:eastAsia="宋体" w:cs="宋体"/>
                <w:i w:val="0"/>
                <w:iCs w:val="0"/>
                <w:color w:val="000000"/>
                <w:sz w:val="18"/>
                <w:szCs w:val="18"/>
                <w:u w:val="none"/>
              </w:rPr>
            </w:pPr>
          </w:p>
        </w:tc>
        <w:tc>
          <w:tcPr>
            <w:tcW w:w="327" w:type="pct"/>
            <w:vMerge w:val="restart"/>
            <w:tcBorders>
              <w:top w:val="single" w:color="000000" w:sz="4" w:space="0"/>
              <w:left w:val="single" w:color="000000" w:sz="4" w:space="0"/>
              <w:bottom w:val="single" w:color="000000" w:sz="4" w:space="0"/>
              <w:right w:val="single" w:color="000000" w:sz="4" w:space="0"/>
            </w:tcBorders>
            <w:shd w:val="clear"/>
            <w:vAlign w:val="center"/>
          </w:tcPr>
          <w:p w14:paraId="0FFFA98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363" w:type="pct"/>
            <w:vMerge w:val="restart"/>
            <w:tcBorders>
              <w:top w:val="single" w:color="000000" w:sz="4" w:space="0"/>
              <w:left w:val="single" w:color="000000" w:sz="4" w:space="0"/>
              <w:bottom w:val="single" w:color="000000" w:sz="4" w:space="0"/>
              <w:right w:val="single" w:color="000000" w:sz="4" w:space="0"/>
            </w:tcBorders>
            <w:shd w:val="clear"/>
            <w:vAlign w:val="center"/>
          </w:tcPr>
          <w:p w14:paraId="0A64848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513" w:type="pct"/>
            <w:vMerge w:val="restart"/>
            <w:tcBorders>
              <w:top w:val="single" w:color="000000" w:sz="4" w:space="0"/>
              <w:left w:val="single" w:color="000000" w:sz="4" w:space="0"/>
              <w:bottom w:val="single" w:color="000000" w:sz="4" w:space="0"/>
              <w:right w:val="single" w:color="000000" w:sz="4" w:space="0"/>
            </w:tcBorders>
            <w:shd w:val="clear"/>
            <w:vAlign w:val="center"/>
          </w:tcPr>
          <w:p w14:paraId="05F51B1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251"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7857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286" w:type="pct"/>
            <w:vMerge w:val="restart"/>
            <w:tcBorders>
              <w:top w:val="single" w:color="000000" w:sz="4" w:space="0"/>
              <w:left w:val="single" w:color="000000" w:sz="4" w:space="0"/>
              <w:bottom w:val="single" w:color="000000" w:sz="4" w:space="0"/>
              <w:right w:val="single" w:color="000000" w:sz="4" w:space="0"/>
            </w:tcBorders>
            <w:shd w:val="clear"/>
            <w:vAlign w:val="center"/>
          </w:tcPr>
          <w:p w14:paraId="44334E1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76" w:type="pct"/>
            <w:vMerge w:val="restart"/>
            <w:tcBorders>
              <w:top w:val="single" w:color="000000" w:sz="4" w:space="0"/>
              <w:left w:val="single" w:color="000000" w:sz="4" w:space="0"/>
              <w:bottom w:val="single" w:color="000000" w:sz="4" w:space="0"/>
              <w:right w:val="single" w:color="000000" w:sz="4" w:space="0"/>
            </w:tcBorders>
            <w:shd w:val="clear"/>
            <w:vAlign w:val="center"/>
          </w:tcPr>
          <w:p w14:paraId="66842A1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363" w:type="pct"/>
            <w:vMerge w:val="restart"/>
            <w:tcBorders>
              <w:top w:val="single" w:color="000000" w:sz="4" w:space="0"/>
              <w:left w:val="single" w:color="000000" w:sz="4" w:space="0"/>
              <w:bottom w:val="single" w:color="000000" w:sz="4" w:space="0"/>
              <w:right w:val="single" w:color="000000" w:sz="4" w:space="0"/>
            </w:tcBorders>
            <w:shd w:val="clear"/>
            <w:vAlign w:val="center"/>
          </w:tcPr>
          <w:p w14:paraId="6818C7E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68" w:type="pct"/>
            <w:vMerge w:val="restart"/>
            <w:tcBorders>
              <w:top w:val="single" w:color="000000" w:sz="4" w:space="0"/>
              <w:left w:val="single" w:color="000000" w:sz="4" w:space="0"/>
              <w:bottom w:val="single" w:color="000000" w:sz="4" w:space="0"/>
              <w:right w:val="single" w:color="000000" w:sz="4" w:space="0"/>
            </w:tcBorders>
            <w:shd w:val="clear"/>
            <w:vAlign w:val="center"/>
          </w:tcPr>
          <w:p w14:paraId="0B92893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63" w:type="pct"/>
            <w:vMerge w:val="restart"/>
            <w:tcBorders>
              <w:top w:val="single" w:color="000000" w:sz="4" w:space="0"/>
              <w:left w:val="single" w:color="000000" w:sz="4" w:space="0"/>
              <w:bottom w:val="single" w:color="000000" w:sz="4" w:space="0"/>
              <w:right w:val="single" w:color="000000" w:sz="4" w:space="0"/>
            </w:tcBorders>
            <w:shd w:val="clear"/>
            <w:vAlign w:val="center"/>
          </w:tcPr>
          <w:p w14:paraId="249B7C0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311" w:type="pct"/>
            <w:vMerge w:val="restart"/>
            <w:tcBorders>
              <w:top w:val="single" w:color="000000" w:sz="4" w:space="0"/>
              <w:left w:val="single" w:color="000000" w:sz="4" w:space="0"/>
              <w:bottom w:val="single" w:color="000000" w:sz="4" w:space="0"/>
              <w:right w:val="single" w:color="000000" w:sz="4" w:space="0"/>
            </w:tcBorders>
            <w:shd w:val="clear"/>
            <w:vAlign w:val="center"/>
          </w:tcPr>
          <w:p w14:paraId="492C391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623" w:type="pct"/>
            <w:vMerge w:val="restart"/>
            <w:tcBorders>
              <w:top w:val="single" w:color="000000" w:sz="4" w:space="0"/>
              <w:left w:val="single" w:color="000000" w:sz="4" w:space="0"/>
              <w:bottom w:val="single" w:color="000000" w:sz="4" w:space="0"/>
              <w:right w:val="single" w:color="000000" w:sz="4" w:space="0"/>
            </w:tcBorders>
            <w:shd w:val="clear"/>
            <w:vAlign w:val="center"/>
          </w:tcPr>
          <w:p w14:paraId="7DE4817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326" w:type="pct"/>
            <w:vMerge w:val="restart"/>
            <w:tcBorders>
              <w:top w:val="single" w:color="000000" w:sz="4" w:space="0"/>
              <w:left w:val="single" w:color="000000" w:sz="4" w:space="0"/>
              <w:bottom w:val="single" w:color="000000" w:sz="4" w:space="0"/>
              <w:right w:val="single" w:color="000000" w:sz="4" w:space="0"/>
            </w:tcBorders>
            <w:shd w:val="clear"/>
            <w:vAlign w:val="center"/>
          </w:tcPr>
          <w:p w14:paraId="573494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296" w:type="pct"/>
            <w:vMerge w:val="restart"/>
            <w:tcBorders>
              <w:top w:val="single" w:color="000000" w:sz="4" w:space="0"/>
              <w:left w:val="single" w:color="000000" w:sz="4" w:space="0"/>
              <w:bottom w:val="single" w:color="000000" w:sz="4" w:space="0"/>
              <w:right w:val="single" w:color="000000" w:sz="4" w:space="0"/>
            </w:tcBorders>
            <w:shd w:val="clear"/>
            <w:vAlign w:val="center"/>
          </w:tcPr>
          <w:p w14:paraId="0EBFB14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286307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71D9CC2">
            <w:pPr>
              <w:jc w:val="center"/>
              <w:rPr>
                <w:rFonts w:hint="eastAsia" w:ascii="宋体" w:hAnsi="宋体" w:eastAsia="宋体" w:cs="宋体"/>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D0DC977">
            <w:pPr>
              <w:jc w:val="center"/>
              <w:rPr>
                <w:rFonts w:hint="eastAsia" w:ascii="宋体" w:hAnsi="宋体" w:eastAsia="宋体" w:cs="宋体"/>
                <w:b/>
                <w:bCs/>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797C75">
            <w:pPr>
              <w:jc w:val="center"/>
              <w:rPr>
                <w:rFonts w:hint="eastAsia" w:ascii="宋体" w:hAnsi="宋体" w:eastAsia="宋体" w:cs="宋体"/>
                <w:b/>
                <w:bCs/>
                <w:i w:val="0"/>
                <w:iCs w:val="0"/>
                <w:color w:val="000000"/>
                <w:sz w:val="18"/>
                <w:szCs w:val="18"/>
                <w:u w:val="none"/>
              </w:rPr>
            </w:pPr>
          </w:p>
        </w:tc>
        <w:tc>
          <w:tcPr>
            <w:tcW w:w="51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4D94E5E">
            <w:pPr>
              <w:jc w:val="center"/>
              <w:rPr>
                <w:rFonts w:hint="eastAsia" w:ascii="宋体" w:hAnsi="宋体" w:eastAsia="宋体" w:cs="宋体"/>
                <w:b/>
                <w:bCs/>
                <w:i w:val="0"/>
                <w:iCs w:val="0"/>
                <w:color w:val="000000"/>
                <w:sz w:val="18"/>
                <w:szCs w:val="18"/>
                <w:u w:val="none"/>
              </w:rPr>
            </w:pPr>
          </w:p>
        </w:tc>
        <w:tc>
          <w:tcPr>
            <w:tcW w:w="25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259299">
            <w:pPr>
              <w:jc w:val="center"/>
              <w:rPr>
                <w:rFonts w:hint="eastAsia" w:ascii="宋体" w:hAnsi="宋体" w:eastAsia="宋体" w:cs="宋体"/>
                <w:b/>
                <w:bCs/>
                <w:i w:val="0"/>
                <w:iCs w:val="0"/>
                <w:color w:val="000000"/>
                <w:sz w:val="18"/>
                <w:szCs w:val="18"/>
                <w:u w:val="none"/>
              </w:rPr>
            </w:pPr>
          </w:p>
        </w:tc>
        <w:tc>
          <w:tcPr>
            <w:tcW w:w="28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9B32B0">
            <w:pPr>
              <w:jc w:val="center"/>
              <w:rPr>
                <w:rFonts w:hint="eastAsia" w:ascii="宋体" w:hAnsi="宋体" w:eastAsia="宋体" w:cs="宋体"/>
                <w:b/>
                <w:bCs/>
                <w:i w:val="0"/>
                <w:iCs w:val="0"/>
                <w:color w:val="000000"/>
                <w:sz w:val="18"/>
                <w:szCs w:val="18"/>
                <w:u w:val="none"/>
              </w:rPr>
            </w:pPr>
          </w:p>
        </w:tc>
        <w:tc>
          <w:tcPr>
            <w:tcW w:w="37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BDE8F8">
            <w:pPr>
              <w:jc w:val="center"/>
              <w:rPr>
                <w:rFonts w:hint="eastAsia" w:ascii="宋体" w:hAnsi="宋体" w:eastAsia="宋体" w:cs="宋体"/>
                <w:b/>
                <w:bCs/>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8E134A0">
            <w:pPr>
              <w:jc w:val="center"/>
              <w:rPr>
                <w:rFonts w:hint="eastAsia" w:ascii="宋体" w:hAnsi="宋体" w:eastAsia="宋体" w:cs="宋体"/>
                <w:b/>
                <w:bCs/>
                <w:i w:val="0"/>
                <w:iCs w:val="0"/>
                <w:color w:val="000000"/>
                <w:sz w:val="18"/>
                <w:szCs w:val="18"/>
                <w:u w:val="none"/>
              </w:rPr>
            </w:pPr>
          </w:p>
        </w:tc>
        <w:tc>
          <w:tcPr>
            <w:tcW w:w="368"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4C82EFD">
            <w:pPr>
              <w:jc w:val="center"/>
              <w:rPr>
                <w:rFonts w:hint="eastAsia" w:ascii="宋体" w:hAnsi="宋体" w:eastAsia="宋体" w:cs="宋体"/>
                <w:b/>
                <w:bCs/>
                <w:i w:val="0"/>
                <w:iCs w:val="0"/>
                <w:color w:val="000000"/>
                <w:sz w:val="18"/>
                <w:szCs w:val="18"/>
                <w:u w:val="none"/>
              </w:rPr>
            </w:pPr>
          </w:p>
        </w:tc>
        <w:tc>
          <w:tcPr>
            <w:tcW w:w="36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2A0EE7C">
            <w:pPr>
              <w:jc w:val="center"/>
              <w:rPr>
                <w:rFonts w:hint="eastAsia" w:ascii="宋体" w:hAnsi="宋体" w:eastAsia="宋体" w:cs="宋体"/>
                <w:b/>
                <w:bCs/>
                <w:i w:val="0"/>
                <w:iCs w:val="0"/>
                <w:color w:val="000000"/>
                <w:sz w:val="18"/>
                <w:szCs w:val="18"/>
                <w:u w:val="none"/>
              </w:rPr>
            </w:pPr>
          </w:p>
        </w:tc>
        <w:tc>
          <w:tcPr>
            <w:tcW w:w="31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A763E4A">
            <w:pPr>
              <w:jc w:val="center"/>
              <w:rPr>
                <w:rFonts w:hint="eastAsia" w:ascii="宋体" w:hAnsi="宋体" w:eastAsia="宋体" w:cs="宋体"/>
                <w:b/>
                <w:bCs/>
                <w:i w:val="0"/>
                <w:iCs w:val="0"/>
                <w:color w:val="000000"/>
                <w:sz w:val="18"/>
                <w:szCs w:val="18"/>
                <w:u w:val="none"/>
              </w:rPr>
            </w:pPr>
          </w:p>
        </w:tc>
        <w:tc>
          <w:tcPr>
            <w:tcW w:w="62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59C1E3E">
            <w:pPr>
              <w:jc w:val="center"/>
              <w:rPr>
                <w:rFonts w:hint="eastAsia" w:ascii="宋体" w:hAnsi="宋体" w:eastAsia="宋体" w:cs="宋体"/>
                <w:b/>
                <w:bCs/>
                <w:i w:val="0"/>
                <w:iCs w:val="0"/>
                <w:color w:val="000000"/>
                <w:sz w:val="18"/>
                <w:szCs w:val="18"/>
                <w:u w:val="none"/>
              </w:rPr>
            </w:pPr>
          </w:p>
        </w:tc>
        <w:tc>
          <w:tcPr>
            <w:tcW w:w="32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6C8651">
            <w:pPr>
              <w:jc w:val="center"/>
              <w:rPr>
                <w:rFonts w:hint="eastAsia" w:ascii="宋体" w:hAnsi="宋体" w:eastAsia="宋体" w:cs="宋体"/>
                <w:b/>
                <w:bCs/>
                <w:i w:val="0"/>
                <w:iCs w:val="0"/>
                <w:color w:val="000000"/>
                <w:sz w:val="18"/>
                <w:szCs w:val="18"/>
                <w:u w:val="none"/>
              </w:rPr>
            </w:pPr>
          </w:p>
        </w:tc>
        <w:tc>
          <w:tcPr>
            <w:tcW w:w="29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348497E">
            <w:pPr>
              <w:jc w:val="center"/>
              <w:rPr>
                <w:rFonts w:hint="eastAsia" w:ascii="宋体" w:hAnsi="宋体" w:eastAsia="宋体" w:cs="宋体"/>
                <w:b/>
                <w:bCs/>
                <w:i w:val="0"/>
                <w:iCs w:val="0"/>
                <w:color w:val="000000"/>
                <w:sz w:val="18"/>
                <w:szCs w:val="18"/>
                <w:u w:val="none"/>
              </w:rPr>
            </w:pPr>
          </w:p>
        </w:tc>
      </w:tr>
      <w:tr w14:paraId="4BE7CD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restart"/>
            <w:tcBorders>
              <w:top w:val="single" w:color="000000" w:sz="4" w:space="0"/>
              <w:left w:val="single" w:color="000000" w:sz="4" w:space="0"/>
              <w:bottom w:val="single" w:color="000000" w:sz="4" w:space="0"/>
              <w:right w:val="single" w:color="000000" w:sz="4" w:space="0"/>
            </w:tcBorders>
            <w:shd w:val="clear"/>
            <w:vAlign w:val="center"/>
          </w:tcPr>
          <w:p w14:paraId="04D98CF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327" w:type="pct"/>
            <w:vMerge w:val="restart"/>
            <w:tcBorders>
              <w:top w:val="single" w:color="000000" w:sz="4" w:space="0"/>
              <w:left w:val="single" w:color="000000" w:sz="4" w:space="0"/>
              <w:bottom w:val="single" w:color="000000" w:sz="4" w:space="0"/>
              <w:right w:val="single" w:color="000000" w:sz="4" w:space="0"/>
            </w:tcBorders>
            <w:shd w:val="clear"/>
            <w:vAlign w:val="center"/>
          </w:tcPr>
          <w:p w14:paraId="1F95AD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477F9D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323C64C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改造升级项目数</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2A8A0A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0143CF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=1个</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B206C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=1个</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2C1CC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94252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0BE34B8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769BAA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318CCB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73020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51632DA0">
            <w:pPr>
              <w:jc w:val="center"/>
              <w:rPr>
                <w:rFonts w:hint="eastAsia" w:ascii="宋体" w:hAnsi="宋体" w:eastAsia="宋体" w:cs="宋体"/>
                <w:i w:val="0"/>
                <w:iCs w:val="0"/>
                <w:color w:val="000000"/>
                <w:sz w:val="18"/>
                <w:szCs w:val="18"/>
                <w:u w:val="none"/>
              </w:rPr>
            </w:pPr>
          </w:p>
        </w:tc>
      </w:tr>
      <w:tr w14:paraId="30CE7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859738A">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DDA877C">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1320A79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55689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项目验收合格率</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4528E43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3095E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21701E2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34599D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4384A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0CED1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757B70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5F8455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7698F1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1CD77D29">
            <w:pPr>
              <w:jc w:val="center"/>
              <w:rPr>
                <w:rFonts w:hint="eastAsia" w:ascii="宋体" w:hAnsi="宋体" w:eastAsia="宋体" w:cs="宋体"/>
                <w:i w:val="0"/>
                <w:iCs w:val="0"/>
                <w:color w:val="000000"/>
                <w:sz w:val="18"/>
                <w:szCs w:val="18"/>
                <w:u w:val="none"/>
              </w:rPr>
            </w:pPr>
          </w:p>
        </w:tc>
      </w:tr>
      <w:tr w14:paraId="05700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915BFA5">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63F7CA8">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25271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040961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项目完成及时率（%）</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70F129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1CFEC3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272493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0A51AF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3A220C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560965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1B0192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6C24806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110E098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2818BEF1">
            <w:pPr>
              <w:jc w:val="center"/>
              <w:rPr>
                <w:rFonts w:hint="eastAsia" w:ascii="宋体" w:hAnsi="宋体" w:eastAsia="宋体" w:cs="宋体"/>
                <w:i w:val="0"/>
                <w:iCs w:val="0"/>
                <w:color w:val="000000"/>
                <w:sz w:val="18"/>
                <w:szCs w:val="18"/>
                <w:u w:val="none"/>
              </w:rPr>
            </w:pPr>
          </w:p>
        </w:tc>
      </w:tr>
      <w:tr w14:paraId="2D9616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694E281">
            <w:pPr>
              <w:jc w:val="center"/>
              <w:rPr>
                <w:rFonts w:hint="eastAsia" w:ascii="宋体" w:hAnsi="宋体" w:eastAsia="宋体" w:cs="宋体"/>
                <w:b/>
                <w:bCs/>
                <w:i w:val="0"/>
                <w:iCs w:val="0"/>
                <w:color w:val="000000"/>
                <w:sz w:val="18"/>
                <w:szCs w:val="18"/>
                <w:u w:val="none"/>
              </w:rPr>
            </w:pPr>
          </w:p>
        </w:tc>
        <w:tc>
          <w:tcPr>
            <w:tcW w:w="327" w:type="pct"/>
            <w:vMerge w:val="restart"/>
            <w:tcBorders>
              <w:top w:val="single" w:color="000000" w:sz="4" w:space="0"/>
              <w:left w:val="single" w:color="000000" w:sz="4" w:space="0"/>
              <w:bottom w:val="single" w:color="000000" w:sz="4" w:space="0"/>
              <w:right w:val="single" w:color="000000" w:sz="4" w:space="0"/>
            </w:tcBorders>
            <w:shd w:val="clear"/>
            <w:vAlign w:val="center"/>
          </w:tcPr>
          <w:p w14:paraId="16C85D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7E7F9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1F8A9B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预算控制率</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4CF04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6B2E1A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&lt;=100%</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19FB6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ABCB0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7105B29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4B802B4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预算支出标准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26A157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1CE6BA2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024270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原始凭证</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54D59D61">
            <w:pPr>
              <w:jc w:val="center"/>
              <w:rPr>
                <w:rFonts w:hint="eastAsia" w:ascii="宋体" w:hAnsi="宋体" w:eastAsia="宋体" w:cs="宋体"/>
                <w:i w:val="0"/>
                <w:iCs w:val="0"/>
                <w:color w:val="000000"/>
                <w:sz w:val="18"/>
                <w:szCs w:val="18"/>
                <w:u w:val="none"/>
              </w:rPr>
            </w:pPr>
          </w:p>
        </w:tc>
      </w:tr>
      <w:tr w14:paraId="5ADEC7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903"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898DB4C">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0693A23">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242F95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44C1E577">
            <w:pPr>
              <w:jc w:val="center"/>
              <w:rPr>
                <w:rFonts w:hint="eastAsia" w:ascii="宋体" w:hAnsi="宋体" w:eastAsia="宋体" w:cs="宋体"/>
                <w:i w:val="0"/>
                <w:iCs w:val="0"/>
                <w:color w:val="000000"/>
                <w:sz w:val="18"/>
                <w:szCs w:val="18"/>
                <w:u w:val="none"/>
              </w:rPr>
            </w:pP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21691C07">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6B7FCACA">
            <w:pPr>
              <w:jc w:val="center"/>
              <w:rPr>
                <w:rFonts w:hint="eastAsia" w:ascii="宋体" w:hAnsi="宋体" w:eastAsia="宋体" w:cs="宋体"/>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6F2272DD">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40A15C29">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4A2D7D8">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24081E57">
            <w:pPr>
              <w:jc w:val="center"/>
              <w:rPr>
                <w:rFonts w:hint="eastAsia" w:ascii="宋体" w:hAnsi="宋体" w:eastAsia="宋体" w:cs="宋体"/>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24F27574">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3F82630A">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78FE5263">
            <w:pPr>
              <w:jc w:val="center"/>
              <w:rPr>
                <w:rFonts w:hint="eastAsia" w:ascii="宋体" w:hAnsi="宋体" w:eastAsia="宋体" w:cs="宋体"/>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3D1C5260">
            <w:pPr>
              <w:jc w:val="center"/>
              <w:rPr>
                <w:rFonts w:hint="eastAsia" w:ascii="宋体" w:hAnsi="宋体" w:eastAsia="宋体" w:cs="宋体"/>
                <w:i w:val="0"/>
                <w:iCs w:val="0"/>
                <w:color w:val="000000"/>
                <w:sz w:val="18"/>
                <w:szCs w:val="18"/>
                <w:u w:val="none"/>
              </w:rPr>
            </w:pPr>
          </w:p>
        </w:tc>
      </w:tr>
      <w:tr w14:paraId="3EE60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697961D">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E03E7CD">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68F5CD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1EC587B6">
            <w:pPr>
              <w:jc w:val="center"/>
              <w:rPr>
                <w:rFonts w:hint="eastAsia" w:ascii="宋体" w:hAnsi="宋体" w:eastAsia="宋体" w:cs="宋体"/>
                <w:i w:val="0"/>
                <w:iCs w:val="0"/>
                <w:color w:val="000000"/>
                <w:sz w:val="18"/>
                <w:szCs w:val="18"/>
                <w:u w:val="none"/>
              </w:rPr>
            </w:pP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64938BB5">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3C7C20FB">
            <w:pPr>
              <w:jc w:val="center"/>
              <w:rPr>
                <w:rFonts w:hint="eastAsia" w:ascii="宋体" w:hAnsi="宋体" w:eastAsia="宋体" w:cs="宋体"/>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48FB2EC1">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C728DE7">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17A58CE">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16E529CE">
            <w:pPr>
              <w:jc w:val="center"/>
              <w:rPr>
                <w:rFonts w:hint="eastAsia" w:ascii="宋体" w:hAnsi="宋体" w:eastAsia="宋体" w:cs="宋体"/>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026FF594">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07C54AAD">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4D0D875B">
            <w:pPr>
              <w:jc w:val="center"/>
              <w:rPr>
                <w:rFonts w:hint="eastAsia" w:ascii="宋体" w:hAnsi="宋体" w:eastAsia="宋体" w:cs="宋体"/>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2C638EC3">
            <w:pPr>
              <w:jc w:val="center"/>
              <w:rPr>
                <w:rFonts w:hint="eastAsia" w:ascii="宋体" w:hAnsi="宋体" w:eastAsia="宋体" w:cs="宋体"/>
                <w:i w:val="0"/>
                <w:iCs w:val="0"/>
                <w:color w:val="000000"/>
                <w:sz w:val="18"/>
                <w:szCs w:val="18"/>
                <w:u w:val="none"/>
              </w:rPr>
            </w:pPr>
          </w:p>
        </w:tc>
      </w:tr>
      <w:tr w14:paraId="5C37E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69147E">
            <w:pPr>
              <w:jc w:val="center"/>
              <w:rPr>
                <w:rFonts w:hint="eastAsia" w:ascii="宋体" w:hAnsi="宋体" w:eastAsia="宋体" w:cs="宋体"/>
                <w:b/>
                <w:bCs/>
                <w:i w:val="0"/>
                <w:iCs w:val="0"/>
                <w:color w:val="000000"/>
                <w:sz w:val="18"/>
                <w:szCs w:val="18"/>
                <w:u w:val="none"/>
              </w:rPr>
            </w:pPr>
          </w:p>
        </w:tc>
        <w:tc>
          <w:tcPr>
            <w:tcW w:w="32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8AD1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4A1EE2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05E2244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完成房屋出租收入工作</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5EBBAC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1389536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=5.08万元</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2FACE1A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=5.08万元</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21AD1D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5DC8F80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5C4AE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历史标准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5EDDFD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5300C6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7835F45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75E7EA67">
            <w:pPr>
              <w:jc w:val="center"/>
              <w:rPr>
                <w:rFonts w:hint="eastAsia" w:ascii="宋体" w:hAnsi="宋体" w:eastAsia="宋体" w:cs="宋体"/>
                <w:i w:val="0"/>
                <w:iCs w:val="0"/>
                <w:color w:val="000000"/>
                <w:sz w:val="18"/>
                <w:szCs w:val="18"/>
                <w:u w:val="none"/>
              </w:rPr>
            </w:pPr>
          </w:p>
        </w:tc>
      </w:tr>
      <w:tr w14:paraId="6A8E8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20D7A60">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AB09E40">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206FE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440E25D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消除业务楼安全隐患</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4F39B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303EFB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5D5554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2215650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50FA1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48F4DF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行业标准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2D4D49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0F59217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096B1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6A7F0615">
            <w:pPr>
              <w:jc w:val="center"/>
              <w:rPr>
                <w:rFonts w:hint="eastAsia" w:ascii="宋体" w:hAnsi="宋体" w:eastAsia="宋体" w:cs="宋体"/>
                <w:i w:val="0"/>
                <w:iCs w:val="0"/>
                <w:color w:val="000000"/>
                <w:sz w:val="18"/>
                <w:szCs w:val="18"/>
                <w:u w:val="none"/>
              </w:rPr>
            </w:pPr>
          </w:p>
        </w:tc>
      </w:tr>
      <w:tr w14:paraId="18C5E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C67EAD0">
            <w:pPr>
              <w:jc w:val="center"/>
              <w:rPr>
                <w:rFonts w:hint="eastAsia" w:ascii="宋体" w:hAnsi="宋体" w:eastAsia="宋体" w:cs="宋体"/>
                <w:b/>
                <w:bCs/>
                <w:i w:val="0"/>
                <w:iCs w:val="0"/>
                <w:color w:val="000000"/>
                <w:sz w:val="18"/>
                <w:szCs w:val="18"/>
                <w:u w:val="none"/>
              </w:rPr>
            </w:pPr>
          </w:p>
        </w:tc>
        <w:tc>
          <w:tcPr>
            <w:tcW w:w="32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13809F7">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6C465AD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20D20FE4">
            <w:pPr>
              <w:jc w:val="center"/>
              <w:rPr>
                <w:rFonts w:hint="eastAsia" w:ascii="宋体" w:hAnsi="宋体" w:eastAsia="宋体" w:cs="宋体"/>
                <w:i w:val="0"/>
                <w:iCs w:val="0"/>
                <w:color w:val="000000"/>
                <w:sz w:val="18"/>
                <w:szCs w:val="18"/>
                <w:u w:val="none"/>
              </w:rPr>
            </w:pP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21DD8E6F">
            <w:pPr>
              <w:jc w:val="center"/>
              <w:rPr>
                <w:rFonts w:hint="eastAsia" w:ascii="宋体" w:hAnsi="宋体" w:eastAsia="宋体" w:cs="宋体"/>
                <w:i w:val="0"/>
                <w:iCs w:val="0"/>
                <w:color w:val="000000"/>
                <w:sz w:val="18"/>
                <w:szCs w:val="18"/>
                <w:u w:val="none"/>
              </w:rPr>
            </w:pP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6928D932">
            <w:pPr>
              <w:jc w:val="center"/>
              <w:rPr>
                <w:rFonts w:hint="eastAsia" w:ascii="宋体" w:hAnsi="宋体" w:eastAsia="宋体" w:cs="宋体"/>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627D53C8">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508A0C24">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52EFBD3">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1725F4BB">
            <w:pPr>
              <w:jc w:val="center"/>
              <w:rPr>
                <w:rFonts w:hint="eastAsia" w:ascii="宋体" w:hAnsi="宋体" w:eastAsia="宋体" w:cs="宋体"/>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3BD907A9">
            <w:pPr>
              <w:jc w:val="cente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7863F218">
            <w:pPr>
              <w:jc w:val="cente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72947903">
            <w:pPr>
              <w:jc w:val="center"/>
              <w:rPr>
                <w:rFonts w:hint="eastAsia" w:ascii="宋体" w:hAnsi="宋体" w:eastAsia="宋体" w:cs="宋体"/>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789CED95">
            <w:pPr>
              <w:jc w:val="center"/>
              <w:rPr>
                <w:rFonts w:hint="eastAsia" w:ascii="宋体" w:hAnsi="宋体" w:eastAsia="宋体" w:cs="宋体"/>
                <w:i w:val="0"/>
                <w:iCs w:val="0"/>
                <w:color w:val="000000"/>
                <w:sz w:val="18"/>
                <w:szCs w:val="18"/>
                <w:u w:val="none"/>
              </w:rPr>
            </w:pPr>
          </w:p>
        </w:tc>
      </w:tr>
      <w:tr w14:paraId="2E2DC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22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7B15F74">
            <w:pPr>
              <w:jc w:val="center"/>
              <w:rPr>
                <w:rFonts w:hint="eastAsia" w:ascii="宋体" w:hAnsi="宋体" w:eastAsia="宋体" w:cs="宋体"/>
                <w:b/>
                <w:bCs/>
                <w:i w:val="0"/>
                <w:iCs w:val="0"/>
                <w:color w:val="000000"/>
                <w:sz w:val="18"/>
                <w:szCs w:val="18"/>
                <w:u w:val="none"/>
              </w:rPr>
            </w:pPr>
          </w:p>
        </w:tc>
        <w:tc>
          <w:tcPr>
            <w:tcW w:w="327" w:type="pct"/>
            <w:tcBorders>
              <w:top w:val="single" w:color="000000" w:sz="4" w:space="0"/>
              <w:left w:val="single" w:color="000000" w:sz="4" w:space="0"/>
              <w:bottom w:val="single" w:color="000000" w:sz="4" w:space="0"/>
              <w:right w:val="single" w:color="000000" w:sz="4" w:space="0"/>
            </w:tcBorders>
            <w:shd w:val="clear"/>
            <w:vAlign w:val="center"/>
          </w:tcPr>
          <w:p w14:paraId="548A50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3CC387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513" w:type="pct"/>
            <w:tcBorders>
              <w:top w:val="single" w:color="000000" w:sz="4" w:space="0"/>
              <w:left w:val="single" w:color="000000" w:sz="4" w:space="0"/>
              <w:bottom w:val="single" w:color="000000" w:sz="4" w:space="0"/>
              <w:right w:val="single" w:color="000000" w:sz="4" w:space="0"/>
            </w:tcBorders>
            <w:shd w:val="clear"/>
            <w:vAlign w:val="center"/>
          </w:tcPr>
          <w:p w14:paraId="0BE0E2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承租对象满意度（%）</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08433F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6" w:type="pct"/>
            <w:tcBorders>
              <w:top w:val="single" w:color="000000" w:sz="4" w:space="0"/>
              <w:left w:val="single" w:color="000000" w:sz="4" w:space="0"/>
              <w:bottom w:val="single" w:color="000000" w:sz="4" w:space="0"/>
              <w:right w:val="single" w:color="000000" w:sz="4" w:space="0"/>
            </w:tcBorders>
            <w:shd w:val="clear"/>
            <w:vAlign w:val="center"/>
          </w:tcPr>
          <w:p w14:paraId="06E853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&gt;=95%</w:t>
            </w: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3D99CA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=95%</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3F52B83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32D2F5F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73A2087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237437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147107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1DEB18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70CA6F46">
            <w:pPr>
              <w:jc w:val="center"/>
              <w:rPr>
                <w:rFonts w:hint="eastAsia" w:ascii="宋体" w:hAnsi="宋体" w:eastAsia="宋体" w:cs="宋体"/>
                <w:i w:val="0"/>
                <w:iCs w:val="0"/>
                <w:color w:val="000000"/>
                <w:sz w:val="18"/>
                <w:szCs w:val="18"/>
                <w:u w:val="none"/>
              </w:rPr>
            </w:pPr>
          </w:p>
        </w:tc>
      </w:tr>
      <w:tr w14:paraId="5F27C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1433" w:type="pct"/>
            <w:gridSpan w:val="4"/>
            <w:tcBorders>
              <w:top w:val="single" w:color="000000" w:sz="4" w:space="0"/>
              <w:left w:val="single" w:color="000000" w:sz="4" w:space="0"/>
              <w:bottom w:val="single" w:color="000000" w:sz="4" w:space="0"/>
              <w:right w:val="nil"/>
            </w:tcBorders>
            <w:shd w:val="clear"/>
            <w:vAlign w:val="center"/>
          </w:tcPr>
          <w:p w14:paraId="4C11AB3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251" w:type="pct"/>
            <w:tcBorders>
              <w:top w:val="single" w:color="000000" w:sz="4" w:space="0"/>
              <w:left w:val="single" w:color="000000" w:sz="4" w:space="0"/>
              <w:bottom w:val="single" w:color="000000" w:sz="4" w:space="0"/>
              <w:right w:val="single" w:color="000000" w:sz="4" w:space="0"/>
            </w:tcBorders>
            <w:shd w:val="clear"/>
            <w:vAlign w:val="center"/>
          </w:tcPr>
          <w:p w14:paraId="5B61206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6" w:type="pct"/>
            <w:tcBorders>
              <w:top w:val="single" w:color="000000" w:sz="4" w:space="0"/>
              <w:left w:val="nil"/>
              <w:bottom w:val="single" w:color="000000" w:sz="4" w:space="0"/>
              <w:right w:val="single" w:color="000000" w:sz="4" w:space="0"/>
            </w:tcBorders>
            <w:shd w:val="clear"/>
            <w:vAlign w:val="center"/>
          </w:tcPr>
          <w:p w14:paraId="657A3D37">
            <w:pPr>
              <w:rPr>
                <w:rFonts w:hint="eastAsia" w:ascii="宋体" w:hAnsi="宋体" w:eastAsia="宋体" w:cs="宋体"/>
                <w:b/>
                <w:bCs/>
                <w:i w:val="0"/>
                <w:iCs w:val="0"/>
                <w:color w:val="000000"/>
                <w:sz w:val="18"/>
                <w:szCs w:val="18"/>
                <w:u w:val="none"/>
              </w:rPr>
            </w:pPr>
          </w:p>
        </w:tc>
        <w:tc>
          <w:tcPr>
            <w:tcW w:w="376" w:type="pct"/>
            <w:tcBorders>
              <w:top w:val="single" w:color="000000" w:sz="4" w:space="0"/>
              <w:left w:val="single" w:color="000000" w:sz="4" w:space="0"/>
              <w:bottom w:val="single" w:color="000000" w:sz="4" w:space="0"/>
              <w:right w:val="single" w:color="000000" w:sz="4" w:space="0"/>
            </w:tcBorders>
            <w:shd w:val="clear"/>
            <w:vAlign w:val="center"/>
          </w:tcPr>
          <w:p w14:paraId="41DEEB56">
            <w:pPr>
              <w:jc w:val="center"/>
              <w:rPr>
                <w:rFonts w:hint="eastAsia" w:ascii="宋体" w:hAnsi="宋体" w:eastAsia="宋体" w:cs="宋体"/>
                <w:i w:val="0"/>
                <w:iCs w:val="0"/>
                <w:color w:val="000000"/>
                <w:sz w:val="18"/>
                <w:szCs w:val="18"/>
                <w:u w:val="none"/>
              </w:rPr>
            </w:pP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2ABA2183">
            <w:pPr>
              <w:jc w:val="center"/>
              <w:rPr>
                <w:rFonts w:hint="eastAsia" w:ascii="宋体" w:hAnsi="宋体" w:eastAsia="宋体" w:cs="宋体"/>
                <w:i w:val="0"/>
                <w:iCs w:val="0"/>
                <w:color w:val="000000"/>
                <w:sz w:val="18"/>
                <w:szCs w:val="18"/>
                <w:u w:val="none"/>
              </w:rPr>
            </w:pPr>
          </w:p>
        </w:tc>
        <w:tc>
          <w:tcPr>
            <w:tcW w:w="368" w:type="pct"/>
            <w:tcBorders>
              <w:top w:val="single" w:color="000000" w:sz="4" w:space="0"/>
              <w:left w:val="single" w:color="000000" w:sz="4" w:space="0"/>
              <w:bottom w:val="single" w:color="000000" w:sz="4" w:space="0"/>
              <w:right w:val="single" w:color="000000" w:sz="4" w:space="0"/>
            </w:tcBorders>
            <w:shd w:val="clear"/>
            <w:vAlign w:val="center"/>
          </w:tcPr>
          <w:p w14:paraId="261ADB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100.00分</w:t>
            </w:r>
          </w:p>
        </w:tc>
        <w:tc>
          <w:tcPr>
            <w:tcW w:w="363" w:type="pct"/>
            <w:tcBorders>
              <w:top w:val="single" w:color="000000" w:sz="4" w:space="0"/>
              <w:left w:val="single" w:color="000000" w:sz="4" w:space="0"/>
              <w:bottom w:val="single" w:color="000000" w:sz="4" w:space="0"/>
              <w:right w:val="single" w:color="000000" w:sz="4" w:space="0"/>
            </w:tcBorders>
            <w:shd w:val="clear"/>
            <w:vAlign w:val="center"/>
          </w:tcPr>
          <w:p w14:paraId="22551BAF">
            <w:pPr>
              <w:rPr>
                <w:rFonts w:hint="eastAsia" w:ascii="宋体" w:hAnsi="宋体" w:eastAsia="宋体" w:cs="宋体"/>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vAlign w:val="center"/>
          </w:tcPr>
          <w:p w14:paraId="3FC45BAC">
            <w:pPr>
              <w:rPr>
                <w:rFonts w:hint="eastAsia" w:ascii="宋体" w:hAnsi="宋体" w:eastAsia="宋体" w:cs="宋体"/>
                <w:i w:val="0"/>
                <w:iCs w:val="0"/>
                <w:color w:val="000000"/>
                <w:sz w:val="18"/>
                <w:szCs w:val="18"/>
                <w:u w:val="none"/>
              </w:rPr>
            </w:pPr>
          </w:p>
        </w:tc>
        <w:tc>
          <w:tcPr>
            <w:tcW w:w="623" w:type="pct"/>
            <w:tcBorders>
              <w:top w:val="single" w:color="000000" w:sz="4" w:space="0"/>
              <w:left w:val="single" w:color="000000" w:sz="4" w:space="0"/>
              <w:bottom w:val="single" w:color="000000" w:sz="4" w:space="0"/>
              <w:right w:val="single" w:color="000000" w:sz="4" w:space="0"/>
            </w:tcBorders>
            <w:shd w:val="clear"/>
            <w:vAlign w:val="center"/>
          </w:tcPr>
          <w:p w14:paraId="176F9706">
            <w:pPr>
              <w:rPr>
                <w:rFonts w:hint="eastAsia" w:ascii="宋体" w:hAnsi="宋体" w:eastAsia="宋体" w:cs="宋体"/>
                <w:i w:val="0"/>
                <w:iCs w:val="0"/>
                <w:color w:val="000000"/>
                <w:sz w:val="18"/>
                <w:szCs w:val="18"/>
                <w:u w:val="none"/>
              </w:rPr>
            </w:pPr>
          </w:p>
        </w:tc>
        <w:tc>
          <w:tcPr>
            <w:tcW w:w="326" w:type="pct"/>
            <w:tcBorders>
              <w:top w:val="single" w:color="000000" w:sz="4" w:space="0"/>
              <w:left w:val="single" w:color="000000" w:sz="4" w:space="0"/>
              <w:bottom w:val="single" w:color="000000" w:sz="4" w:space="0"/>
              <w:right w:val="single" w:color="000000" w:sz="4" w:space="0"/>
            </w:tcBorders>
            <w:shd w:val="clear"/>
            <w:vAlign w:val="center"/>
          </w:tcPr>
          <w:p w14:paraId="233E2E54">
            <w:pPr>
              <w:rPr>
                <w:rFonts w:hint="eastAsia" w:ascii="宋体" w:hAnsi="宋体" w:eastAsia="宋体" w:cs="宋体"/>
                <w:i w:val="0"/>
                <w:iCs w:val="0"/>
                <w:color w:val="000000"/>
                <w:sz w:val="18"/>
                <w:szCs w:val="18"/>
                <w:u w:val="none"/>
              </w:rPr>
            </w:pPr>
          </w:p>
        </w:tc>
        <w:tc>
          <w:tcPr>
            <w:tcW w:w="296" w:type="pct"/>
            <w:tcBorders>
              <w:top w:val="single" w:color="000000" w:sz="4" w:space="0"/>
              <w:left w:val="single" w:color="000000" w:sz="4" w:space="0"/>
              <w:bottom w:val="single" w:color="000000" w:sz="4" w:space="0"/>
              <w:right w:val="single" w:color="000000" w:sz="4" w:space="0"/>
            </w:tcBorders>
            <w:shd w:val="clear"/>
            <w:vAlign w:val="center"/>
          </w:tcPr>
          <w:p w14:paraId="73F17A43">
            <w:pPr>
              <w:rPr>
                <w:rFonts w:hint="eastAsia" w:ascii="宋体" w:hAnsi="宋体" w:eastAsia="宋体" w:cs="宋体"/>
                <w:i w:val="0"/>
                <w:iCs w:val="0"/>
                <w:color w:val="000000"/>
                <w:sz w:val="18"/>
                <w:szCs w:val="18"/>
                <w:u w:val="none"/>
              </w:rPr>
            </w:pPr>
          </w:p>
        </w:tc>
      </w:tr>
    </w:tbl>
    <w:p w14:paraId="7866ED93">
      <w:pPr>
        <w:pStyle w:val="9"/>
        <w:ind w:left="0" w:leftChars="0" w:firstLine="0" w:firstLineChars="0"/>
        <w:rPr>
          <w:rFonts w:hint="default"/>
          <w:lang w:val="en-US" w:eastAsia="zh-CN"/>
        </w:rPr>
      </w:pPr>
      <w:bookmarkStart w:id="1" w:name="_GoBack"/>
      <w:bookmarkEnd w:id="1"/>
    </w:p>
    <w:sectPr>
      <w:pgSz w:w="16838" w:h="11906" w:orient="landscape"/>
      <w:pgMar w:top="1531" w:right="1361" w:bottom="1531" w:left="1134"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53EF54-AD3F-48DE-AF55-DB6D6803C18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726B311-ED50-4EBB-AFF0-69C6D0BFB0CD}"/>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embedRegular r:id="rId3" w:fontKey="{62E2DDBB-9AF5-486C-8EE9-A2C73DF08BD2}"/>
  </w:font>
  <w:font w:name="方正小标宋_GBK">
    <w:panose1 w:val="02000000000000000000"/>
    <w:charset w:val="86"/>
    <w:family w:val="script"/>
    <w:pitch w:val="default"/>
    <w:sig w:usb0="A00002BF" w:usb1="38CF7CFA" w:usb2="00082016" w:usb3="00000000" w:csb0="00040001" w:csb1="00000000"/>
    <w:embedRegular r:id="rId4" w:fontKey="{12227923-C613-48A9-A3B0-D0997715A302}"/>
  </w:font>
  <w:font w:name="华文中宋">
    <w:altName w:val="宋体"/>
    <w:panose1 w:val="02010600040101010101"/>
    <w:charset w:val="86"/>
    <w:family w:val="auto"/>
    <w:pitch w:val="default"/>
    <w:sig w:usb0="00000000" w:usb1="00000000" w:usb2="00000000" w:usb3="00000000" w:csb0="0004009F" w:csb1="DFD70000"/>
    <w:embedRegular r:id="rId5" w:fontKey="{80CA88BC-1568-450F-9F01-04990B444F66}"/>
  </w:font>
  <w:font w:name="仿宋">
    <w:panose1 w:val="02010609060101010101"/>
    <w:charset w:val="86"/>
    <w:family w:val="auto"/>
    <w:pitch w:val="default"/>
    <w:sig w:usb0="800002BF" w:usb1="38CF7CFA" w:usb2="00000016" w:usb3="00000000" w:csb0="00040001" w:csb1="00000000"/>
    <w:embedRegular r:id="rId6" w:fontKey="{C56CE8FD-7ACB-4301-83A7-DFF3D4435EBD}"/>
  </w:font>
  <w:font w:name="楷体_GB2312">
    <w:panose1 w:val="02010609030101010101"/>
    <w:charset w:val="86"/>
    <w:family w:val="auto"/>
    <w:pitch w:val="default"/>
    <w:sig w:usb0="00000001" w:usb1="080E0000" w:usb2="00000000" w:usb3="00000000" w:csb0="00040000" w:csb1="00000000"/>
    <w:embedRegular r:id="rId7" w:fontKey="{5601C0A5-948E-4F9F-BB18-80C803F66B71}"/>
  </w:font>
  <w:font w:name="方正仿宋_GBK">
    <w:altName w:val="微软雅黑"/>
    <w:panose1 w:val="03000509000000000000"/>
    <w:charset w:val="86"/>
    <w:family w:val="auto"/>
    <w:pitch w:val="default"/>
    <w:sig w:usb0="00000000" w:usb1="00000000" w:usb2="00000000" w:usb3="00000000" w:csb0="00040000" w:csb1="00000000"/>
    <w:embedRegular r:id="rId8" w:fontKey="{8F538C93-22CF-44D2-8714-BAD04DE0195C}"/>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FB0470"/>
    <w:multiLevelType w:val="singleLevel"/>
    <w:tmpl w:val="E1FB0470"/>
    <w:lvl w:ilvl="0" w:tentative="0">
      <w:start w:val="2"/>
      <w:numFmt w:val="decimal"/>
      <w:lvlText w:val="%1."/>
      <w:lvlJc w:val="left"/>
      <w:pPr>
        <w:tabs>
          <w:tab w:val="left" w:pos="312"/>
        </w:tabs>
        <w:ind w:left="693" w:leftChars="0" w:firstLine="0" w:firstLineChars="0"/>
      </w:pPr>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27813159"/>
    <w:multiLevelType w:val="singleLevel"/>
    <w:tmpl w:val="27813159"/>
    <w:lvl w:ilvl="0" w:tentative="0">
      <w:start w:val="3"/>
      <w:numFmt w:val="chineseCounting"/>
      <w:suff w:val="nothing"/>
      <w:lvlText w:val="（%1）"/>
      <w:lvlJc w:val="left"/>
      <w:rPr>
        <w:rFonts w:hint="eastAsia"/>
      </w:rPr>
    </w:lvl>
  </w:abstractNum>
  <w:abstractNum w:abstractNumId="3">
    <w:nsid w:val="6FAA0AB1"/>
    <w:multiLevelType w:val="singleLevel"/>
    <w:tmpl w:val="6FAA0AB1"/>
    <w:lvl w:ilvl="0" w:tentative="0">
      <w:start w:val="2"/>
      <w:numFmt w:val="chineseCounting"/>
      <w:suff w:val="nothing"/>
      <w:lvlText w:val="（%1）"/>
      <w:lvlJc w:val="left"/>
      <w:pPr>
        <w:ind w:left="-43"/>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FkOTQ5YzE5ZWQ0N2QxMGUzZDZhN2MzYWM3NDQ5MzgifQ=="/>
  </w:docVars>
  <w:rsids>
    <w:rsidRoot w:val="00000000"/>
    <w:rsid w:val="061340E1"/>
    <w:rsid w:val="06FD4082"/>
    <w:rsid w:val="0EE13761"/>
    <w:rsid w:val="10C64BF1"/>
    <w:rsid w:val="1D8A4831"/>
    <w:rsid w:val="1E9516DF"/>
    <w:rsid w:val="1F0B55D3"/>
    <w:rsid w:val="2C2F68E9"/>
    <w:rsid w:val="30623359"/>
    <w:rsid w:val="335929D2"/>
    <w:rsid w:val="3B2A65B2"/>
    <w:rsid w:val="442C228B"/>
    <w:rsid w:val="459454C4"/>
    <w:rsid w:val="45EC0627"/>
    <w:rsid w:val="46A1604A"/>
    <w:rsid w:val="547D0C50"/>
    <w:rsid w:val="58966169"/>
    <w:rsid w:val="5F4115A3"/>
    <w:rsid w:val="6298258C"/>
    <w:rsid w:val="6B99345E"/>
    <w:rsid w:val="776F3026"/>
    <w:rsid w:val="7B7378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customStyle="1" w:styleId="2">
    <w:name w:val="无间隔1"/>
    <w:next w:val="1"/>
    <w:qFormat/>
    <w:uiPriority w:val="99"/>
    <w:pPr>
      <w:widowControl w:val="0"/>
      <w:jc w:val="both"/>
    </w:pPr>
    <w:rPr>
      <w:rFonts w:ascii="Calibri" w:hAnsi="Calibri" w:eastAsia="宋体" w:cs="Times New Roman"/>
      <w:kern w:val="2"/>
      <w:sz w:val="21"/>
      <w:szCs w:val="21"/>
      <w:lang w:val="en-US" w:eastAsia="zh-CN" w:bidi="ar-SA"/>
    </w:r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ody Text Indent"/>
    <w:basedOn w:val="1"/>
    <w:qFormat/>
    <w:uiPriority w:val="0"/>
    <w:pPr>
      <w:widowControl w:val="0"/>
      <w:spacing w:after="120" w:line="360" w:lineRule="auto"/>
      <w:ind w:left="420" w:leftChars="200" w:firstLine="883" w:firstLineChars="200"/>
      <w:jc w:val="both"/>
    </w:pPr>
    <w:rPr>
      <w:kern w:val="2"/>
      <w:sz w:val="32"/>
      <w:szCs w:val="22"/>
      <w:lang w:val="en-US" w:eastAsia="zh-CN" w:bidi="ar-SA"/>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10"/>
    <w:pPr>
      <w:widowControl/>
      <w:spacing w:before="240" w:after="60"/>
      <w:jc w:val="center"/>
      <w:outlineLvl w:val="0"/>
    </w:pPr>
    <w:rPr>
      <w:rFonts w:ascii="Cambria" w:hAnsi="Cambria"/>
      <w:b/>
      <w:bCs/>
      <w:kern w:val="28"/>
      <w:sz w:val="32"/>
      <w:szCs w:val="32"/>
    </w:rPr>
  </w:style>
  <w:style w:type="paragraph" w:styleId="8">
    <w:name w:val="Body Text First Indent"/>
    <w:basedOn w:val="4"/>
    <w:qFormat/>
    <w:uiPriority w:val="0"/>
    <w:pPr>
      <w:spacing w:after="0"/>
      <w:ind w:firstLine="200" w:firstLineChars="200"/>
    </w:pPr>
  </w:style>
  <w:style w:type="paragraph" w:styleId="9">
    <w:name w:val="Body Text First Indent 2"/>
    <w:basedOn w:val="5"/>
    <w:qFormat/>
    <w:uiPriority w:val="0"/>
    <w:pPr>
      <w:widowControl w:val="0"/>
      <w:spacing w:after="120" w:line="360" w:lineRule="auto"/>
      <w:ind w:left="420" w:leftChars="200" w:firstLine="420" w:firstLineChars="200"/>
      <w:jc w:val="both"/>
    </w:pPr>
    <w:rPr>
      <w:kern w:val="2"/>
      <w:sz w:val="32"/>
      <w:szCs w:val="22"/>
      <w:lang w:val="en-US" w:eastAsia="zh-CN" w:bidi="ar-SA"/>
    </w:rPr>
  </w:style>
  <w:style w:type="character" w:styleId="12">
    <w:name w:val="Strong"/>
    <w:basedOn w:val="11"/>
    <w:qFormat/>
    <w:uiPriority w:val="0"/>
    <w:rPr>
      <w:rFonts w:ascii="楷体" w:hAnsi="楷体" w:eastAsia="楷体" w:cs="楷体"/>
      <w:bCs/>
      <w:spacing w:val="-4"/>
      <w:sz w:val="32"/>
      <w:szCs w:val="32"/>
    </w:rPr>
  </w:style>
  <w:style w:type="paragraph" w:customStyle="1" w:styleId="13">
    <w:name w:val="闻政-正文段落文字"/>
    <w:basedOn w:val="1"/>
    <w:qFormat/>
    <w:uiPriority w:val="3"/>
    <w:pPr>
      <w:spacing w:line="500" w:lineRule="exact"/>
      <w:ind w:firstLine="200"/>
    </w:pPr>
    <w:rPr>
      <w:kern w:val="0"/>
      <w:szCs w:val="28"/>
    </w:rPr>
  </w:style>
  <w:style w:type="character" w:customStyle="1" w:styleId="14">
    <w:name w:val="fontstyle01"/>
    <w:qFormat/>
    <w:uiPriority w:val="0"/>
    <w:rPr>
      <w:rFonts w:ascii="仿宋_GB2312" w:hAnsi="仿宋_GB2312" w:eastAsia="仿宋_GB2312" w:cs="仿宋_GB2312"/>
      <w:color w:val="000000"/>
      <w:sz w:val="32"/>
      <w:szCs w:val="32"/>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12825</Words>
  <Characters>13101</Characters>
  <Lines>0</Lines>
  <Paragraphs>0</Paragraphs>
  <TotalTime>23</TotalTime>
  <ScaleCrop>false</ScaleCrop>
  <LinksUpToDate>false</LinksUpToDate>
  <CharactersWithSpaces>13135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久溺深海</cp:lastModifiedBy>
  <cp:lastPrinted>2024-03-04T11:32:00Z</cp:lastPrinted>
  <dcterms:modified xsi:type="dcterms:W3CDTF">2025-08-27T08:20:29Z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4CBA51F098A84EE1BF0E059B495C134A</vt:lpwstr>
  </property>
  <property fmtid="{D5CDD505-2E9C-101B-9397-08002B2CF9AE}" pid="4" name="KSOTemplateDocerSaveRecord">
    <vt:lpwstr>eyJoZGlkIjoiNmZkMjYyYzAxYjhmOGVmYjRhNDdiNWU4MjMwYTAyNjgiLCJ1c2VySWQiOiIyNTIzNDE3MTMifQ==</vt:lpwstr>
  </property>
</Properties>
</file>